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rFonts w:ascii="Arial" w:cs="Arial" w:eastAsia="Arial" w:hAnsi="Arial"/>
          <w:b/>
          <w:bCs/>
          <w:caps/>
          <w:color w:val="2563A8"/>
          <w:sz w:val="18"/>
          <w:szCs w:val="18"/>
        </w:rPr>
        <w:t xml:space="preserve">SECTION 4  ·  ISO 27001 CERTIFICATION PROCESS</w:t>
      </w:r>
    </w:p>
    <w:p>
      <w:pPr>
        <w:spacing w:after="80"/>
      </w:pPr>
      <w:r>
        <w:rPr>
          <w:rFonts w:ascii="Arial" w:cs="Arial" w:eastAsia="Arial" w:hAnsi="Arial"/>
          <w:b/>
          <w:bCs/>
          <w:caps/>
          <w:color w:val="4B5563"/>
          <w:sz w:val="18"/>
          <w:szCs w:val="18"/>
        </w:rPr>
        <w:t xml:space="preserve">ARTICLE 4.5  ·  RECEIVING AND MAINTAINING CERTIFICATION</w:t>
      </w:r>
    </w:p>
    <w:p>
      <w:pPr>
        <w:pStyle w:val="Heading1"/>
        <w:spacing w:after="120"/>
      </w:pPr>
      <w:r>
        <w:rPr>
          <w:rFonts w:ascii="Arial" w:cs="Arial" w:eastAsia="Arial" w:hAnsi="Arial"/>
          <w:b/>
          <w:bCs/>
          <w:color w:val="1B3A5C"/>
          <w:sz w:val="44"/>
          <w:szCs w:val="44"/>
        </w:rPr>
        <w:t xml:space="preserve">Receiving and Maintaining Certification</w:t>
      </w:r>
    </w:p>
    <w:p>
      <w:pPr>
        <w:spacing w:after="60"/>
      </w:pPr>
      <w:r>
        <w:rPr>
          <w:rFonts w:ascii="Georgia" w:cs="Georgia" w:eastAsia="Georgia" w:hAnsi="Georgia"/>
          <w:i/>
          <w:iCs/>
          <w:color w:val="4B5563"/>
          <w:sz w:val="24"/>
          <w:szCs w:val="24"/>
        </w:rPr>
        <w:t xml:space="preserve">What to do when the certificate arrives — how to verify it, communicate it correctly, use it effectively across different commercial and regulatory contexts, manage the post-certification ISMS operational calendar, handle scope changes, and protect the certificate from the risks that lead to suspension or withdrawal.</w:t>
      </w:r>
    </w:p>
    <w:p>
      <w:pPr>
        <w:spacing w:after="40"/>
      </w:pPr>
      <w:r>
        <w:rPr>
          <w:rFonts w:ascii="Arial" w:cs="Arial" w:eastAsia="Arial" w:hAnsi="Arial"/>
          <w:color w:val="9CA3AF"/>
          <w:sz w:val="18"/>
          <w:szCs w:val="18"/>
        </w:rPr>
        <w:t xml:space="preserve">Bitlion GRC Documentation  ·  Updated March 2026  ·  Reading time: ~15 minutes</w:t>
      </w:r>
    </w:p>
    <w:p>
      <w:pPr>
        <w:pBdr>
          <w:bottom w:val="single" w:color="D1D5DB" w:sz="2" w:space="1"/>
        </w:pBdr>
        <w:spacing w:before="200" w:after="200"/>
      </w:pPr>
      <w:r>
        <w:t xml:space="preserve"/>
      </w:r>
    </w:p>
    <w:p>
      <w:pPr>
        <w:spacing w:after="100"/>
      </w:pPr>
      <w:r>
        <w:t xml:space="preserve"/>
      </w:r>
    </w:p>
    <w:p>
      <w:pPr>
        <w:spacing w:after="160" w:line="320"/>
        <w:jc w:val="both"/>
      </w:pPr>
      <w:r>
        <w:rPr>
          <w:rFonts w:ascii="Georgia" w:cs="Georgia" w:eastAsia="Georgia" w:hAnsi="Georgia"/>
          <w:color w:val="111827"/>
          <w:sz w:val="22"/>
          <w:szCs w:val="22"/>
        </w:rPr>
        <w:t xml:space="preserve">Receiving the ISO 27001 certificate marks the end of the implementation journey — and the beginning of the certification maintenance program. The certificate is not a destination; it is an ongoing commitment. The three-year validity period is sustained by two annual surveillance audits and a recertification audit, each of which tests whether the ISMS is still conformant and still operational.</w:t>
      </w:r>
    </w:p>
    <w:p>
      <w:pPr>
        <w:spacing w:after="80"/>
      </w:pPr>
      <w:r>
        <w:t xml:space="preserve"/>
      </w:r>
    </w:p>
    <w:p>
      <w:pPr>
        <w:spacing w:after="160" w:line="320"/>
        <w:jc w:val="both"/>
      </w:pPr>
      <w:r>
        <w:rPr>
          <w:rFonts w:ascii="Georgia" w:cs="Georgia" w:eastAsia="Georgia" w:hAnsi="Georgia"/>
          <w:color w:val="111827"/>
          <w:sz w:val="22"/>
          <w:szCs w:val="22"/>
        </w:rPr>
        <w:t xml:space="preserve">Many organizations navigate the path to initial certification well and then relax their ISMS discipline after the certificate arrives. The first surveillance audit, twelve months later, finds exactly what relaxed discipline produces: operational gaps, outdated documentation, processes that were running before certification and quietly stopped afterward. The certificate is a contractual commitment to maintain the ISMS — not a trophy for completing the implementation.</w:t>
      </w:r>
    </w:p>
    <w:p>
      <w:pPr>
        <w:spacing w:after="80"/>
      </w:pPr>
      <w:r>
        <w:t xml:space="preserve"/>
      </w:r>
    </w:p>
    <w:p>
      <w:pPr>
        <w:spacing w:after="160" w:line="320"/>
        <w:jc w:val="both"/>
      </w:pPr>
      <w:r>
        <w:rPr>
          <w:rFonts w:ascii="Georgia" w:cs="Georgia" w:eastAsia="Georgia" w:hAnsi="Georgia"/>
          <w:color w:val="111827"/>
          <w:sz w:val="22"/>
          <w:szCs w:val="22"/>
        </w:rPr>
        <w:t xml:space="preserve">This article covers the complete post-certification program: verifying and communicating the certificate correctly, using it effectively across commercial and regulatory contexts, operating the ISMS maintenance calendar, managing scope changes that require CB notification, and understanding the scenarios that lead to certificate suspension and withdrawal.</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3-Year Certification Lifecycle</w:t>
      </w:r>
    </w:p>
    <w:p>
      <w:pPr>
        <w:spacing w:after="80"/>
      </w:pPr>
      <w:r>
        <w:t xml:space="preserve"/>
      </w:r>
    </w:p>
    <w:p>
      <w:pPr>
        <w:spacing w:after="160" w:line="320"/>
        <w:jc w:val="both"/>
      </w:pPr>
      <w:r>
        <w:rPr>
          <w:rFonts w:ascii="Georgia" w:cs="Georgia" w:eastAsia="Georgia" w:hAnsi="Georgia"/>
          <w:color w:val="111827"/>
          <w:sz w:val="22"/>
          <w:szCs w:val="22"/>
        </w:rPr>
        <w:t xml:space="preserve">ISO 27001 certification operates on a three-year cycle. Initial certification is followed by two annual surveillance audits, then a recertification audit before expiry. Understanding the full lifecycle — including the consequences of missing milestones — prevents the most common post-certification failure: an expired certificate that creates commercial and regulatory problems.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1200"/>
        <w:gridCol w:w="5960"/>
      </w:tblGrid>
      <w:tr>
        <w:tc>
          <w:tcPr>
            <w:tcW w:type="dxa" w:w="2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Event</w:t>
            </w:r>
          </w:p>
        </w:tc>
        <w:tc>
          <w:tcPr>
            <w:tcW w:type="dxa" w:w="1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Timing</w:t>
            </w:r>
          </w:p>
        </w:tc>
        <w:tc>
          <w:tcPr>
            <w:tcW w:type="dxa" w:w="59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What it involves</w:t>
            </w:r>
          </w:p>
        </w:tc>
      </w:tr>
      <w:tr>
        <w:tc>
          <w:tcPr>
            <w:tcW w:type="dxa" w:w="2200"/>
            <w:tcBorders>
              <w:top w:val="single" w:color="DBEAFE" w:sz="1"/>
              <w:left w:val="single" w:color="DBEAFE" w:sz="1"/>
              <w:bottom w:val="single" w:color="DBEAFE" w:sz="1"/>
              <w:right w:val="single" w:color="DBEAFE" w:sz="1"/>
            </w:tcBorders>
            <w:shd w:fill="1B3A5C" w:val="clear"/>
            <w:tcMar>
              <w:top w:type="dxa" w:w="110"/>
              <w:left w:type="dxa" w:w="110"/>
              <w:bottom w:type="dxa" w:w="110"/>
              <w:right w:type="dxa" w:w="110"/>
            </w:tcMar>
          </w:tcPr>
          <w:p>
            <w:r>
              <w:rPr>
                <w:rFonts w:ascii="Arial" w:cs="Arial" w:eastAsia="Arial" w:hAnsi="Arial"/>
                <w:b/>
                <w:bCs/>
                <w:color w:val="FFFFFF"/>
                <w:sz w:val="18"/>
                <w:szCs w:val="18"/>
              </w:rPr>
              <w:t xml:space="preserve">Initial certification</w:t>
            </w:r>
          </w:p>
        </w:tc>
        <w:tc>
          <w:tcPr>
            <w:tcW w:type="dxa" w:w="1200"/>
            <w:tcBorders>
              <w:top w:val="single" w:color="DBEAFE" w:sz="1"/>
              <w:left w:val="single" w:color="DBEAFE" w:sz="1"/>
              <w:bottom w:val="single" w:color="DBEAFE" w:sz="1"/>
              <w:right w:val="single" w:color="DBEAFE" w:sz="1"/>
            </w:tcBorders>
            <w:shd w:fill="FFFBEB" w:val="clear"/>
            <w:tcMar>
              <w:top w:type="dxa" w:w="110"/>
              <w:left w:type="dxa" w:w="100"/>
              <w:bottom w:type="dxa" w:w="110"/>
              <w:right w:type="dxa" w:w="100"/>
            </w:tcMar>
          </w:tcPr>
          <w:p>
            <w:pPr>
              <w:jc w:val="center"/>
            </w:pPr>
            <w:r>
              <w:rPr>
                <w:rFonts w:ascii="Arial" w:cs="Arial" w:eastAsia="Arial" w:hAnsi="Arial"/>
                <w:b/>
                <w:bCs/>
                <w:color w:val="B45309"/>
                <w:sz w:val="17"/>
                <w:szCs w:val="17"/>
              </w:rPr>
              <w:t xml:space="preserve">Month 0</w:t>
            </w:r>
          </w:p>
        </w:tc>
        <w:tc>
          <w:tcPr>
            <w:tcW w:type="dxa" w:w="596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r>
              <w:rPr>
                <w:rFonts w:ascii="Georgia" w:cs="Georgia" w:eastAsia="Georgia" w:hAnsi="Georgia"/>
                <w:color w:val="111827"/>
                <w:sz w:val="19"/>
                <w:szCs w:val="19"/>
              </w:rPr>
              <w:t xml:space="preserve">Stage 2 audit passed, all NCs resolved, CB technical review complete. Certificate issued with initial certification date. Valid for 3 years subject to annual surveillance audits.</w:t>
            </w:r>
          </w:p>
        </w:tc>
      </w:tr>
      <w:tr>
        <w:tc>
          <w:tcPr>
            <w:tcW w:type="dxa" w:w="2200"/>
            <w:tcBorders>
              <w:top w:val="single" w:color="DBEAFE" w:sz="1"/>
              <w:left w:val="single" w:color="DBEAFE" w:sz="1"/>
              <w:bottom w:val="single" w:color="DBEAFE" w:sz="1"/>
              <w:right w:val="single" w:color="DBEAFE" w:sz="1"/>
            </w:tcBorders>
            <w:shd w:fill="2563A8" w:val="clear"/>
            <w:tcMar>
              <w:top w:type="dxa" w:w="110"/>
              <w:left w:type="dxa" w:w="110"/>
              <w:bottom w:type="dxa" w:w="110"/>
              <w:right w:type="dxa" w:w="110"/>
            </w:tcMar>
          </w:tcPr>
          <w:p>
            <w:r>
              <w:rPr>
                <w:rFonts w:ascii="Arial" w:cs="Arial" w:eastAsia="Arial" w:hAnsi="Arial"/>
                <w:b/>
                <w:bCs/>
                <w:color w:val="FFFFFF"/>
                <w:sz w:val="18"/>
                <w:szCs w:val="18"/>
              </w:rPr>
              <w:t xml:space="preserve">First surveillance audit</w:t>
            </w:r>
          </w:p>
        </w:tc>
        <w:tc>
          <w:tcPr>
            <w:tcW w:type="dxa" w:w="1200"/>
            <w:tcBorders>
              <w:top w:val="single" w:color="DBEAFE" w:sz="1"/>
              <w:left w:val="single" w:color="DBEAFE" w:sz="1"/>
              <w:bottom w:val="single" w:color="DBEAFE" w:sz="1"/>
              <w:right w:val="single" w:color="DBEAFE" w:sz="1"/>
            </w:tcBorders>
            <w:shd w:fill="FFFBEB" w:val="clear"/>
            <w:tcMar>
              <w:top w:type="dxa" w:w="110"/>
              <w:left w:type="dxa" w:w="100"/>
              <w:bottom w:type="dxa" w:w="110"/>
              <w:right w:type="dxa" w:w="100"/>
            </w:tcMar>
          </w:tcPr>
          <w:p>
            <w:pPr>
              <w:jc w:val="center"/>
            </w:pPr>
            <w:r>
              <w:rPr>
                <w:rFonts w:ascii="Arial" w:cs="Arial" w:eastAsia="Arial" w:hAnsi="Arial"/>
                <w:b/>
                <w:bCs/>
                <w:color w:val="B45309"/>
                <w:sz w:val="17"/>
                <w:szCs w:val="17"/>
              </w:rPr>
              <w:t xml:space="preserve">Month 12 (±2 months)</w:t>
            </w:r>
          </w:p>
        </w:tc>
        <w:tc>
          <w:tcPr>
            <w:tcW w:type="dxa" w:w="596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r>
              <w:rPr>
                <w:rFonts w:ascii="Georgia" w:cs="Georgia" w:eastAsia="Georgia" w:hAnsi="Georgia"/>
                <w:color w:val="111827"/>
                <w:sz w:val="19"/>
                <w:szCs w:val="19"/>
              </w:rPr>
              <w:t xml:space="preserve">Auditor reviews a sample of ISMS scope — typically 30–50% of the total scope areas, selected based on risk and previous findings. Not a full re-audit. Certificate remains valid during the audit; suspension only if major NCs are found and not resolved.</w:t>
            </w:r>
          </w:p>
        </w:tc>
      </w:tr>
      <w:tr>
        <w:tc>
          <w:tcPr>
            <w:tcW w:type="dxa" w:w="2200"/>
            <w:tcBorders>
              <w:top w:val="single" w:color="DBEAFE" w:sz="1"/>
              <w:left w:val="single" w:color="DBEAFE" w:sz="1"/>
              <w:bottom w:val="single" w:color="DBEAFE" w:sz="1"/>
              <w:right w:val="single" w:color="DBEAFE" w:sz="1"/>
            </w:tcBorders>
            <w:shd w:fill="0F766E" w:val="clear"/>
            <w:tcMar>
              <w:top w:type="dxa" w:w="110"/>
              <w:left w:type="dxa" w:w="110"/>
              <w:bottom w:type="dxa" w:w="110"/>
              <w:right w:type="dxa" w:w="110"/>
            </w:tcMar>
          </w:tcPr>
          <w:p>
            <w:r>
              <w:rPr>
                <w:rFonts w:ascii="Arial" w:cs="Arial" w:eastAsia="Arial" w:hAnsi="Arial"/>
                <w:b/>
                <w:bCs/>
                <w:color w:val="FFFFFF"/>
                <w:sz w:val="18"/>
                <w:szCs w:val="18"/>
              </w:rPr>
              <w:t xml:space="preserve">Second surveillance audit</w:t>
            </w:r>
          </w:p>
        </w:tc>
        <w:tc>
          <w:tcPr>
            <w:tcW w:type="dxa" w:w="1200"/>
            <w:tcBorders>
              <w:top w:val="single" w:color="DBEAFE" w:sz="1"/>
              <w:left w:val="single" w:color="DBEAFE" w:sz="1"/>
              <w:bottom w:val="single" w:color="DBEAFE" w:sz="1"/>
              <w:right w:val="single" w:color="DBEAFE" w:sz="1"/>
            </w:tcBorders>
            <w:shd w:fill="FFFBEB" w:val="clear"/>
            <w:tcMar>
              <w:top w:type="dxa" w:w="110"/>
              <w:left w:type="dxa" w:w="100"/>
              <w:bottom w:type="dxa" w:w="110"/>
              <w:right w:type="dxa" w:w="100"/>
            </w:tcMar>
          </w:tcPr>
          <w:p>
            <w:pPr>
              <w:jc w:val="center"/>
            </w:pPr>
            <w:r>
              <w:rPr>
                <w:rFonts w:ascii="Arial" w:cs="Arial" w:eastAsia="Arial" w:hAnsi="Arial"/>
                <w:b/>
                <w:bCs/>
                <w:color w:val="B45309"/>
                <w:sz w:val="17"/>
                <w:szCs w:val="17"/>
              </w:rPr>
              <w:t xml:space="preserve">Month 24 (±2 months)</w:t>
            </w:r>
          </w:p>
        </w:tc>
        <w:tc>
          <w:tcPr>
            <w:tcW w:type="dxa" w:w="596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r>
              <w:rPr>
                <w:rFonts w:ascii="Georgia" w:cs="Georgia" w:eastAsia="Georgia" w:hAnsi="Georgia"/>
                <w:color w:val="111827"/>
                <w:sz w:val="19"/>
                <w:szCs w:val="19"/>
              </w:rPr>
              <w:t xml:space="preserve">Second annual surveillance. Different areas sampled from Year 1 surveillance — typically covering areas not audited in Year 1. All previous NCs must be resolved. Certificate continues.</w:t>
            </w:r>
          </w:p>
        </w:tc>
      </w:tr>
      <w:tr>
        <w:tc>
          <w:tcPr>
            <w:tcW w:type="dxa" w:w="2200"/>
            <w:tcBorders>
              <w:top w:val="single" w:color="DBEAFE" w:sz="1"/>
              <w:left w:val="single" w:color="DBEAFE" w:sz="1"/>
              <w:bottom w:val="single" w:color="DBEAFE" w:sz="1"/>
              <w:right w:val="single" w:color="DBEAFE" w:sz="1"/>
            </w:tcBorders>
            <w:shd w:fill="3730A3" w:val="clear"/>
            <w:tcMar>
              <w:top w:type="dxa" w:w="110"/>
              <w:left w:type="dxa" w:w="110"/>
              <w:bottom w:type="dxa" w:w="110"/>
              <w:right w:type="dxa" w:w="110"/>
            </w:tcMar>
          </w:tcPr>
          <w:p>
            <w:r>
              <w:rPr>
                <w:rFonts w:ascii="Arial" w:cs="Arial" w:eastAsia="Arial" w:hAnsi="Arial"/>
                <w:b/>
                <w:bCs/>
                <w:color w:val="FFFFFF"/>
                <w:sz w:val="18"/>
                <w:szCs w:val="18"/>
              </w:rPr>
              <w:t xml:space="preserve">Recertification audit</w:t>
            </w:r>
          </w:p>
        </w:tc>
        <w:tc>
          <w:tcPr>
            <w:tcW w:type="dxa" w:w="1200"/>
            <w:tcBorders>
              <w:top w:val="single" w:color="DBEAFE" w:sz="1"/>
              <w:left w:val="single" w:color="DBEAFE" w:sz="1"/>
              <w:bottom w:val="single" w:color="DBEAFE" w:sz="1"/>
              <w:right w:val="single" w:color="DBEAFE" w:sz="1"/>
            </w:tcBorders>
            <w:shd w:fill="FFFBEB" w:val="clear"/>
            <w:tcMar>
              <w:top w:type="dxa" w:w="110"/>
              <w:left w:type="dxa" w:w="100"/>
              <w:bottom w:type="dxa" w:w="110"/>
              <w:right w:type="dxa" w:w="100"/>
            </w:tcMar>
          </w:tcPr>
          <w:p>
            <w:pPr>
              <w:jc w:val="center"/>
            </w:pPr>
            <w:r>
              <w:rPr>
                <w:rFonts w:ascii="Arial" w:cs="Arial" w:eastAsia="Arial" w:hAnsi="Arial"/>
                <w:b/>
                <w:bCs/>
                <w:color w:val="B45309"/>
                <w:sz w:val="17"/>
                <w:szCs w:val="17"/>
              </w:rPr>
              <w:t xml:space="preserve">Month 33–36 (before expiry)</w:t>
            </w:r>
          </w:p>
        </w:tc>
        <w:tc>
          <w:tcPr>
            <w:tcW w:type="dxa" w:w="596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r>
              <w:rPr>
                <w:rFonts w:ascii="Georgia" w:cs="Georgia" w:eastAsia="Georgia" w:hAnsi="Georgia"/>
                <w:color w:val="111827"/>
                <w:sz w:val="19"/>
                <w:szCs w:val="19"/>
              </w:rPr>
              <w:t xml:space="preserve">Full scope re-audit, similar in depth to the original Stage 2. Must be completed before the certificate expiry date. Successful recertification resets the 3-year cycle with a new initial certification date.</w:t>
            </w:r>
          </w:p>
        </w:tc>
      </w:tr>
      <w:tr>
        <w:tc>
          <w:tcPr>
            <w:tcW w:type="dxa" w:w="2200"/>
            <w:tcBorders>
              <w:top w:val="single" w:color="DBEAFE" w:sz="1"/>
              <w:left w:val="single" w:color="DBEAFE" w:sz="1"/>
              <w:bottom w:val="single" w:color="DBEAFE" w:sz="1"/>
              <w:right w:val="single" w:color="DBEAFE" w:sz="1"/>
            </w:tcBorders>
            <w:shd w:fill="991B1B" w:val="clear"/>
            <w:tcMar>
              <w:top w:type="dxa" w:w="110"/>
              <w:left w:type="dxa" w:w="110"/>
              <w:bottom w:type="dxa" w:w="110"/>
              <w:right w:type="dxa" w:w="110"/>
            </w:tcMar>
          </w:tcPr>
          <w:p>
            <w:r>
              <w:rPr>
                <w:rFonts w:ascii="Arial" w:cs="Arial" w:eastAsia="Arial" w:hAnsi="Arial"/>
                <w:b/>
                <w:bCs/>
                <w:color w:val="FFFFFF"/>
                <w:sz w:val="18"/>
                <w:szCs w:val="18"/>
              </w:rPr>
              <w:t xml:space="preserve">Certificate expiry (if recertification not completed)</w:t>
            </w:r>
          </w:p>
        </w:tc>
        <w:tc>
          <w:tcPr>
            <w:tcW w:type="dxa" w:w="1200"/>
            <w:tcBorders>
              <w:top w:val="single" w:color="DBEAFE" w:sz="1"/>
              <w:left w:val="single" w:color="DBEAFE" w:sz="1"/>
              <w:bottom w:val="single" w:color="DBEAFE" w:sz="1"/>
              <w:right w:val="single" w:color="DBEAFE" w:sz="1"/>
            </w:tcBorders>
            <w:shd w:fill="FFFBEB" w:val="clear"/>
            <w:tcMar>
              <w:top w:type="dxa" w:w="110"/>
              <w:left w:type="dxa" w:w="100"/>
              <w:bottom w:type="dxa" w:w="110"/>
              <w:right w:type="dxa" w:w="100"/>
            </w:tcMar>
          </w:tcPr>
          <w:p>
            <w:pPr>
              <w:jc w:val="center"/>
            </w:pPr>
            <w:r>
              <w:rPr>
                <w:rFonts w:ascii="Arial" w:cs="Arial" w:eastAsia="Arial" w:hAnsi="Arial"/>
                <w:b/>
                <w:bCs/>
                <w:color w:val="B45309"/>
                <w:sz w:val="17"/>
                <w:szCs w:val="17"/>
              </w:rPr>
              <w:t xml:space="preserve">Month 36</w:t>
            </w:r>
          </w:p>
        </w:tc>
        <w:tc>
          <w:tcPr>
            <w:tcW w:type="dxa" w:w="5960"/>
            <w:tcBorders>
              <w:top w:val="single" w:color="DBEAFE" w:sz="1"/>
              <w:left w:val="single" w:color="DBEAFE" w:sz="1"/>
              <w:bottom w:val="single" w:color="DBEAFE" w:sz="1"/>
              <w:right w:val="single" w:color="DBEAFE" w:sz="1"/>
            </w:tcBorders>
            <w:shd w:fill="FEF2F2" w:val="clear"/>
            <w:tcMar>
              <w:top w:type="dxa" w:w="110"/>
              <w:left w:type="dxa" w:w="110"/>
              <w:bottom w:type="dxa" w:w="110"/>
              <w:right w:type="dxa" w:w="110"/>
            </w:tcMar>
          </w:tcPr>
          <w:p>
            <w:r>
              <w:rPr>
                <w:rFonts w:ascii="Georgia" w:cs="Georgia" w:eastAsia="Georgia" w:hAnsi="Georgia"/>
                <w:color w:val="991B1B"/>
                <w:sz w:val="19"/>
                <w:szCs w:val="19"/>
              </w:rPr>
              <w:t xml:space="preserve">Certificate expires if recertification audit is not completed before expiry date. Lapsed certification has commercial and regulatory consequences — clients and regulators who relied on the certificate may require immediate corrective action or re-qualification.</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THE POST-CERTIFICATION MINDSET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The most common mistake after receiving the certificate is treating it as the project's finish line. The surveillance audits at Month 12 and Month 24 test whether the ISMS is still running — not whether it was running at Month 0. Controls that were implemented for certification and then quietly degraded, processes that were running and then stopped, evidence that was collected for Stage 2 and then no longer retained — all become surveillance audit findings. The certificate is maintained by continuing to operate the ISMS, not by completing the implementation.</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Verifying the Certificate</w:t>
      </w:r>
    </w:p>
    <w:p>
      <w:pPr>
        <w:spacing w:after="80"/>
      </w:pPr>
      <w:r>
        <w:t xml:space="preserve"/>
      </w:r>
    </w:p>
    <w:p>
      <w:pPr>
        <w:spacing w:after="160" w:line="320"/>
        <w:jc w:val="both"/>
      </w:pPr>
      <w:r>
        <w:rPr>
          <w:rFonts w:ascii="Georgia" w:cs="Georgia" w:eastAsia="Georgia" w:hAnsi="Georgia"/>
          <w:color w:val="111827"/>
          <w:sz w:val="22"/>
          <w:szCs w:val="22"/>
        </w:rPr>
        <w:t xml:space="preserve">When the certificate arrives — whether as a physical document, a PDF, or both — verify its contents against the following checklist before distributing it:</w:t>
      </w:r>
    </w:p>
    <w:p>
      <w:pPr>
        <w:spacing w:after="80"/>
      </w:pPr>
      <w:r>
        <w:t xml:space="preserve"/>
      </w:r>
    </w:p>
    <w:p>
      <w:pPr>
        <w:pStyle w:val="ListParagraph"/>
        <w:numPr>
          <w:ilvl w:val="0"/>
          <w:numId w:val="2"/>
        </w:numPr>
        <w:spacing w:after="100"/>
      </w:pPr>
      <w:r>
        <w:rPr>
          <w:rFonts w:ascii="Georgia" w:cs="Georgia" w:eastAsia="Georgia" w:hAnsi="Georgia"/>
          <w:color w:val="111827"/>
          <w:sz w:val="22"/>
          <w:szCs w:val="22"/>
        </w:rPr>
        <w:t xml:space="preserve">Organization name — must exactly match the legal entity name used in the certification agreement</w:t>
      </w:r>
    </w:p>
    <w:p>
      <w:pPr>
        <w:pStyle w:val="ListParagraph"/>
        <w:numPr>
          <w:ilvl w:val="0"/>
          <w:numId w:val="2"/>
        </w:numPr>
        <w:spacing w:after="100"/>
      </w:pPr>
      <w:r>
        <w:rPr>
          <w:rFonts w:ascii="Georgia" w:cs="Georgia" w:eastAsia="Georgia" w:hAnsi="Georgia"/>
          <w:color w:val="111827"/>
          <w:sz w:val="22"/>
          <w:szCs w:val="22"/>
        </w:rPr>
        <w:t xml:space="preserve">ISMS scope — must exactly match the scope statement in the ISMS documentation. Any discrepancy between the certificate scope and the ISMS scope statement should be raised with the CB immediately.</w:t>
      </w:r>
    </w:p>
    <w:p>
      <w:pPr>
        <w:pStyle w:val="ListParagraph"/>
        <w:numPr>
          <w:ilvl w:val="0"/>
          <w:numId w:val="2"/>
        </w:numPr>
        <w:spacing w:after="100"/>
      </w:pPr>
      <w:r>
        <w:rPr>
          <w:rFonts w:ascii="Georgia" w:cs="Georgia" w:eastAsia="Georgia" w:hAnsi="Georgia"/>
          <w:color w:val="111827"/>
          <w:sz w:val="22"/>
          <w:szCs w:val="22"/>
        </w:rPr>
        <w:t xml:space="preserve">Standard and version — must state 'ISO/IEC 27001:2022'. A certificate stating 'ISO/IEC 27001:2013' is invalid as of October 2025.</w:t>
      </w:r>
    </w:p>
    <w:p>
      <w:pPr>
        <w:pStyle w:val="ListParagraph"/>
        <w:numPr>
          <w:ilvl w:val="0"/>
          <w:numId w:val="2"/>
        </w:numPr>
        <w:spacing w:after="100"/>
      </w:pPr>
      <w:r>
        <w:rPr>
          <w:rFonts w:ascii="Georgia" w:cs="Georgia" w:eastAsia="Georgia" w:hAnsi="Georgia"/>
          <w:color w:val="111827"/>
          <w:sz w:val="22"/>
          <w:szCs w:val="22"/>
        </w:rPr>
        <w:t xml:space="preserve">Certification body name and accreditation body logo — verify the CB name and that the accreditation body logo (KAN, UKAS, DAkkS, etc.) is present</w:t>
      </w:r>
    </w:p>
    <w:p>
      <w:pPr>
        <w:pStyle w:val="ListParagraph"/>
        <w:numPr>
          <w:ilvl w:val="0"/>
          <w:numId w:val="2"/>
        </w:numPr>
        <w:spacing w:after="100"/>
      </w:pPr>
      <w:r>
        <w:rPr>
          <w:rFonts w:ascii="Georgia" w:cs="Georgia" w:eastAsia="Georgia" w:hAnsi="Georgia"/>
          <w:color w:val="111827"/>
          <w:sz w:val="22"/>
          <w:szCs w:val="22"/>
        </w:rPr>
        <w:t xml:space="preserve">Initial certification date — the date the CB made the certification decision</w:t>
      </w:r>
    </w:p>
    <w:p>
      <w:pPr>
        <w:pStyle w:val="ListParagraph"/>
        <w:numPr>
          <w:ilvl w:val="0"/>
          <w:numId w:val="2"/>
        </w:numPr>
        <w:spacing w:after="100"/>
      </w:pPr>
      <w:r>
        <w:rPr>
          <w:rFonts w:ascii="Georgia" w:cs="Georgia" w:eastAsia="Georgia" w:hAnsi="Georgia"/>
          <w:color w:val="111827"/>
          <w:sz w:val="22"/>
          <w:szCs w:val="22"/>
        </w:rPr>
        <w:t xml:space="preserve">Expiry date — must be exactly 3 years after the initial certification date</w:t>
      </w:r>
    </w:p>
    <w:p>
      <w:pPr>
        <w:pStyle w:val="ListParagraph"/>
        <w:numPr>
          <w:ilvl w:val="0"/>
          <w:numId w:val="2"/>
        </w:numPr>
        <w:spacing w:after="100"/>
      </w:pPr>
      <w:r>
        <w:rPr>
          <w:rFonts w:ascii="Georgia" w:cs="Georgia" w:eastAsia="Georgia" w:hAnsi="Georgia"/>
          <w:color w:val="111827"/>
          <w:sz w:val="22"/>
          <w:szCs w:val="22"/>
        </w:rPr>
        <w:t xml:space="preserve">Certificate number — note this; it is used for verification in IAF CertSearch and the CB's public registry</w:t>
      </w:r>
    </w:p>
    <w:p>
      <w:pPr>
        <w:spacing w:after="80"/>
      </w:pPr>
      <w:r>
        <w:t xml:space="preserve"/>
      </w:r>
    </w:p>
    <w:p>
      <w:pPr>
        <w:spacing w:after="160" w:line="320"/>
        <w:jc w:val="both"/>
      </w:pPr>
      <w:r>
        <w:rPr>
          <w:rFonts w:ascii="Georgia" w:cs="Georgia" w:eastAsia="Georgia" w:hAnsi="Georgia"/>
          <w:color w:val="111827"/>
          <w:sz w:val="22"/>
          <w:szCs w:val="22"/>
        </w:rPr>
        <w:t xml:space="preserve">Verify the certificate independently in the CB's public registry and in IAF CertSearch (iafcertsearch.org) using the certificate number. The certificate should appear in both. A certificate that does not appear in public registries has reduced credibility with sophisticated clients and regulators who know how to verify independently.</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F766E" w:sz="1"/>
              <w:left w:val="single" w:color="0F766E" w:sz="12"/>
              <w:bottom w:val="single" w:color="0F766E" w:sz="1"/>
              <w:right w:val="single" w:color="0F766E" w:sz="1"/>
            </w:tcBorders>
            <w:shd w:fill="F0FDFA" w:val="clear"/>
            <w:tcMar>
              <w:top w:type="dxa" w:w="140"/>
              <w:left w:type="dxa" w:w="200"/>
              <w:bottom w:type="dxa" w:w="140"/>
              <w:right w:type="dxa" w:w="160"/>
            </w:tcMar>
          </w:tcPr>
          <w:p>
            <w:r>
              <w:rPr>
                <w:rFonts w:ascii="Georgia" w:cs="Georgia" w:eastAsia="Georgia" w:hAnsi="Georgia"/>
                <w:i/>
                <w:iCs/>
                <w:color w:val="0F766E"/>
                <w:sz w:val="21"/>
                <w:szCs w:val="21"/>
              </w:rPr>
              <w:t xml:space="preserve">Scope statement accuracy is non-negotiable: If the certificate scope statement does not accurately reflect your ISMS scope — even if the discrepancy seems minor — contact the CB immediately to request an amendment before distributing the certificate. Clients who receive a certificate claiming a broader scope than your actual ISMS covers, and later discover the discrepancy, will lose trust in the certification and potentially in the organization's integrity. Scope accuracy in the certificate is as important as scope accuracy in the ISMS documentation.</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Using the Certificate Effectively</w:t>
      </w:r>
    </w:p>
    <w:p>
      <w:pPr>
        <w:spacing w:after="80"/>
      </w:pPr>
      <w:r>
        <w:t xml:space="preserve"/>
      </w:r>
    </w:p>
    <w:p>
      <w:pPr>
        <w:spacing w:after="160" w:line="320"/>
        <w:jc w:val="both"/>
      </w:pPr>
      <w:r>
        <w:rPr>
          <w:rFonts w:ascii="Georgia" w:cs="Georgia" w:eastAsia="Georgia" w:hAnsi="Georgia"/>
          <w:color w:val="111827"/>
          <w:sz w:val="22"/>
          <w:szCs w:val="22"/>
        </w:rPr>
        <w:t xml:space="preserve">The ISO 27001 certificate is a commercial and regulatory asset — but only when used correctly and in the right contexts. The table below maps the six most common certificate use contexts for Indonesian regulated organizations, with guidance on how to reference it effectively and the accuracy cautions that prevent misrepresentation:</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960"/>
        <w:gridCol w:w="3800"/>
        <w:gridCol w:w="3600"/>
      </w:tblGrid>
      <w:tr>
        <w:tc>
          <w:tcPr>
            <w:tcW w:type="dxa" w:w="19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Use context</w:t>
            </w:r>
          </w:p>
        </w:tc>
        <w:tc>
          <w:tcPr>
            <w:tcW w:type="dxa" w:w="38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How to use the certificate</w:t>
            </w:r>
          </w:p>
        </w:tc>
        <w:tc>
          <w:tcPr>
            <w:tcW w:type="dxa" w:w="36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Caution / scope accuracy</w:t>
            </w:r>
          </w:p>
        </w:tc>
      </w:tr>
      <w:tr>
        <w:tc>
          <w:tcPr>
            <w:tcW w:type="dxa" w:w="1960"/>
            <w:tcBorders>
              <w:top w:val="single" w:color="DBEAFE" w:sz="1"/>
              <w:left w:val="single" w:color="DBEAFE" w:sz="1"/>
              <w:bottom w:val="single" w:color="DBEAFE" w:sz="1"/>
              <w:right w:val="single" w:color="DBEAFE" w:sz="1"/>
            </w:tcBorders>
            <w:shd w:fill="1B3A5C" w:val="clear"/>
            <w:tcMar>
              <w:top w:type="dxa" w:w="100"/>
              <w:left w:type="dxa" w:w="110"/>
              <w:bottom w:type="dxa" w:w="100"/>
              <w:right w:type="dxa" w:w="110"/>
            </w:tcMar>
          </w:tcPr>
          <w:p>
            <w:r>
              <w:rPr>
                <w:rFonts w:ascii="Arial" w:cs="Arial" w:eastAsia="Arial" w:hAnsi="Arial"/>
                <w:b/>
                <w:bCs/>
                <w:color w:val="FFFFFF"/>
                <w:sz w:val="18"/>
                <w:szCs w:val="18"/>
              </w:rPr>
              <w:t xml:space="preserve">Client security questionnaires</w:t>
            </w:r>
          </w:p>
        </w:tc>
        <w:tc>
          <w:tcPr>
            <w:tcW w:type="dxa" w:w="38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Reference the certificate in response to questions about security frameworks, certifications, and independent assurance. Include certificate number, issuing CB, and scope statement. Attach the certificate or provide a link to verify in the CB's public registry.</w:t>
            </w:r>
          </w:p>
        </w:tc>
        <w:tc>
          <w:tcPr>
            <w:tcW w:type="dxa" w:w="360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Georgia" w:cs="Georgia" w:eastAsia="Georgia" w:hAnsi="Georgia"/>
                <w:color w:val="B45309"/>
                <w:sz w:val="17"/>
                <w:szCs w:val="17"/>
              </w:rPr>
              <w:t xml:space="preserve">Scope accuracy: the certificate covers the defined ISMS scope — not the entire organization. If a client questionnaire asks about security of their specific service, confirm it is within the certified scope before claiming coverage.</w:t>
            </w:r>
          </w:p>
        </w:tc>
      </w:tr>
      <w:tr>
        <w:tc>
          <w:tcPr>
            <w:tcW w:type="dxa" w:w="1960"/>
            <w:tcBorders>
              <w:top w:val="single" w:color="DBEAFE" w:sz="1"/>
              <w:left w:val="single" w:color="DBEAFE" w:sz="1"/>
              <w:bottom w:val="single" w:color="DBEAFE" w:sz="1"/>
              <w:right w:val="single" w:color="DBEAFE" w:sz="1"/>
            </w:tcBorders>
            <w:shd w:fill="2563A8" w:val="clear"/>
            <w:tcMar>
              <w:top w:type="dxa" w:w="100"/>
              <w:left w:type="dxa" w:w="110"/>
              <w:bottom w:type="dxa" w:w="100"/>
              <w:right w:type="dxa" w:w="110"/>
            </w:tcMar>
          </w:tcPr>
          <w:p>
            <w:r>
              <w:rPr>
                <w:rFonts w:ascii="Arial" w:cs="Arial" w:eastAsia="Arial" w:hAnsi="Arial"/>
                <w:b/>
                <w:bCs/>
                <w:color w:val="FFFFFF"/>
                <w:sz w:val="18"/>
                <w:szCs w:val="18"/>
              </w:rPr>
              <w:t xml:space="preserve">Enterprise procurement / RFP responses</w:t>
            </w:r>
          </w:p>
        </w:tc>
        <w:tc>
          <w:tcPr>
            <w:tcW w:type="dxa" w:w="38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Include ISO 27001:2022 certification as a qualification criterion response. Attach the certificate. Highlight that the certification is accredited (KAN/IAF member body), not just self-declared. Reference the surveillance audit schedule to demonstrate ongoing compliance.</w:t>
            </w:r>
          </w:p>
        </w:tc>
        <w:tc>
          <w:tcPr>
            <w:tcW w:type="dxa" w:w="360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Georgia" w:cs="Georgia" w:eastAsia="Georgia" w:hAnsi="Georgia"/>
                <w:color w:val="B45309"/>
                <w:sz w:val="17"/>
                <w:szCs w:val="17"/>
              </w:rPr>
              <w:t xml:space="preserve">Some procurement specifications list specific accepted CBs or require certificates from CBs recognized by specific bodies (e.g. LKPP for Indonesian government, OJK for financial services). Verify acceptance before citing the certificate.</w:t>
            </w:r>
          </w:p>
        </w:tc>
      </w:tr>
      <w:tr>
        <w:tc>
          <w:tcPr>
            <w:tcW w:type="dxa" w:w="196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8"/>
                <w:szCs w:val="18"/>
              </w:rPr>
              <w:t xml:space="preserve">Regulatory submissions (OJK, BI, BSSN, KOMINFO)</w:t>
            </w:r>
          </w:p>
        </w:tc>
        <w:tc>
          <w:tcPr>
            <w:tcW w:type="dxa" w:w="38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ISO 27001 certification is accepted by OJK as evidence of IT governance maturity in several POJK requirements. Reference the certificate with scope statement and CB name. For UU PDP accountability purposes, certification demonstrates a systematic approach to personal data protection.</w:t>
            </w:r>
          </w:p>
        </w:tc>
        <w:tc>
          <w:tcPr>
            <w:tcW w:type="dxa" w:w="360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Georgia" w:cs="Georgia" w:eastAsia="Georgia" w:hAnsi="Georgia"/>
                <w:color w:val="B45309"/>
                <w:sz w:val="17"/>
                <w:szCs w:val="17"/>
              </w:rPr>
              <w:t xml:space="preserve">Certification demonstrates a management system framework — it does not substitute for specific regulatory compliance. OJK-regulated entities still need to demonstrate compliance with specific POJK requirements; ISO 27001 is a complement, not a replacement.</w:t>
            </w:r>
          </w:p>
        </w:tc>
      </w:tr>
      <w:tr>
        <w:tc>
          <w:tcPr>
            <w:tcW w:type="dxa" w:w="1960"/>
            <w:tcBorders>
              <w:top w:val="single" w:color="DBEAFE" w:sz="1"/>
              <w:left w:val="single" w:color="DBEAFE" w:sz="1"/>
              <w:bottom w:val="single" w:color="DBEAFE" w:sz="1"/>
              <w:right w:val="single" w:color="DBEAFE" w:sz="1"/>
            </w:tcBorders>
            <w:shd w:fill="3730A3" w:val="clear"/>
            <w:tcMar>
              <w:top w:type="dxa" w:w="100"/>
              <w:left w:type="dxa" w:w="110"/>
              <w:bottom w:type="dxa" w:w="100"/>
              <w:right w:type="dxa" w:w="110"/>
            </w:tcMar>
          </w:tcPr>
          <w:p>
            <w:r>
              <w:rPr>
                <w:rFonts w:ascii="Arial" w:cs="Arial" w:eastAsia="Arial" w:hAnsi="Arial"/>
                <w:b/>
                <w:bCs/>
                <w:color w:val="FFFFFF"/>
                <w:sz w:val="18"/>
                <w:szCs w:val="18"/>
              </w:rPr>
              <w:t xml:space="preserve">Marketing and brand communications</w:t>
            </w:r>
          </w:p>
        </w:tc>
        <w:tc>
          <w:tcPr>
            <w:tcW w:type="dxa" w:w="38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Use the ISO 27001 logo (if licensed from ISO or CB) in marketing materials. State 'ISO 27001:2022 certified' with the scope context. Include on website security page, company profile, and investor/client presentations.</w:t>
            </w:r>
          </w:p>
        </w:tc>
        <w:tc>
          <w:tcPr>
            <w:tcW w:type="dxa" w:w="360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Georgia" w:cs="Georgia" w:eastAsia="Georgia" w:hAnsi="Georgia"/>
                <w:color w:val="B45309"/>
                <w:sz w:val="17"/>
                <w:szCs w:val="17"/>
              </w:rPr>
              <w:t xml:space="preserve">ISO logo usage may require CB permission and is governed by ISO trademark guidelines. Do not overstate what the certification covers. 'ISO 27001 certified for our payment processing platform' is accurate; 'ISO 27001 certified company' when only a subset is certified can mislead.</w:t>
            </w:r>
          </w:p>
        </w:tc>
      </w:tr>
      <w:tr>
        <w:tc>
          <w:tcPr>
            <w:tcW w:type="dxa" w:w="1960"/>
            <w:tcBorders>
              <w:top w:val="single" w:color="DBEAFE" w:sz="1"/>
              <w:left w:val="single" w:color="DBEAFE" w:sz="1"/>
              <w:bottom w:val="single" w:color="DBEAFE" w:sz="1"/>
              <w:right w:val="single" w:color="DBEAFE" w:sz="1"/>
            </w:tcBorders>
            <w:shd w:fill="6D28D9" w:val="clear"/>
            <w:tcMar>
              <w:top w:type="dxa" w:w="100"/>
              <w:left w:type="dxa" w:w="110"/>
              <w:bottom w:type="dxa" w:w="100"/>
              <w:right w:type="dxa" w:w="110"/>
            </w:tcMar>
          </w:tcPr>
          <w:p>
            <w:r>
              <w:rPr>
                <w:rFonts w:ascii="Arial" w:cs="Arial" w:eastAsia="Arial" w:hAnsi="Arial"/>
                <w:b/>
                <w:bCs/>
                <w:color w:val="FFFFFF"/>
                <w:sz w:val="18"/>
                <w:szCs w:val="18"/>
              </w:rPr>
              <w:t xml:space="preserve">Partner and supplier due diligence</w:t>
            </w:r>
          </w:p>
        </w:tc>
        <w:tc>
          <w:tcPr>
            <w:tcW w:type="dxa" w:w="38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Provide the certificate to partners and clients requesting security due diligence evidence. Direct them to the CB's public registry to verify independently. Include the surveillance audit schedule to demonstrate the certification is maintained.</w:t>
            </w:r>
          </w:p>
        </w:tc>
        <w:tc>
          <w:tcPr>
            <w:tcW w:type="dxa" w:w="360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Georgia" w:cs="Georgia" w:eastAsia="Georgia" w:hAnsi="Georgia"/>
                <w:color w:val="B45309"/>
                <w:sz w:val="17"/>
                <w:szCs w:val="17"/>
              </w:rPr>
              <w:t xml:space="preserve">Certification does not mean you have no security incidents or vulnerabilities — be prepared to answer follow-up questions about specific controls in scope. Certification supplements, not replaces, detailed security questionnaire responses.</w:t>
            </w:r>
          </w:p>
        </w:tc>
      </w:tr>
      <w:tr>
        <w:tc>
          <w:tcPr>
            <w:tcW w:type="dxa" w:w="1960"/>
            <w:tcBorders>
              <w:top w:val="single" w:color="DBEAFE" w:sz="1"/>
              <w:left w:val="single" w:color="DBEAFE" w:sz="1"/>
              <w:bottom w:val="single" w:color="DBEAFE" w:sz="1"/>
              <w:right w:val="single" w:color="DBEAFE" w:sz="1"/>
            </w:tcBorders>
            <w:shd w:fill="0E9F6E" w:val="clear"/>
            <w:tcMar>
              <w:top w:type="dxa" w:w="100"/>
              <w:left w:type="dxa" w:w="110"/>
              <w:bottom w:type="dxa" w:w="100"/>
              <w:right w:type="dxa" w:w="110"/>
            </w:tcMar>
          </w:tcPr>
          <w:p>
            <w:r>
              <w:rPr>
                <w:rFonts w:ascii="Arial" w:cs="Arial" w:eastAsia="Arial" w:hAnsi="Arial"/>
                <w:b/>
                <w:bCs/>
                <w:color w:val="FFFFFF"/>
                <w:sz w:val="18"/>
                <w:szCs w:val="18"/>
              </w:rPr>
              <w:t xml:space="preserve">Staff recruitment and employer brand</w:t>
            </w:r>
          </w:p>
        </w:tc>
        <w:tc>
          <w:tcPr>
            <w:tcW w:type="dxa" w:w="38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Highlight ISO 27001 certification in job listings and recruitment materials as evidence of a mature security culture. It signals to security-conscious candidates that the organization takes information security seriously.</w:t>
            </w:r>
          </w:p>
        </w:tc>
        <w:tc>
          <w:tcPr>
            <w:tcW w:type="dxa" w:w="360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Georgia" w:cs="Georgia" w:eastAsia="Georgia" w:hAnsi="Georgia"/>
                <w:color w:val="B45309"/>
                <w:sz w:val="17"/>
                <w:szCs w:val="17"/>
              </w:rPr>
              <w:t xml:space="preserve">Candidates with ISO 27001 experience will understand what certification means and does not mean. Be prepared to discuss the ISMS program authentically in interviews.</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3730A3" w:sz="1"/>
              <w:left w:val="single" w:color="3730A3" w:sz="12"/>
              <w:bottom w:val="single" w:color="3730A3" w:sz="1"/>
              <w:right w:val="single" w:color="3730A3" w:sz="1"/>
            </w:tcBorders>
            <w:shd w:fill="EEF2FF" w:val="clear"/>
            <w:tcMar>
              <w:top w:type="dxa" w:w="140"/>
              <w:left w:type="dxa" w:w="200"/>
              <w:bottom w:type="dxa" w:w="140"/>
              <w:right w:type="dxa" w:w="160"/>
            </w:tcMar>
          </w:tcPr>
          <w:p>
            <w:r>
              <w:rPr>
                <w:rFonts w:ascii="Georgia" w:cs="Georgia" w:eastAsia="Georgia" w:hAnsi="Georgia"/>
                <w:i/>
                <w:iCs/>
                <w:color w:val="3730A3"/>
                <w:sz w:val="21"/>
                <w:szCs w:val="21"/>
              </w:rPr>
              <w:t xml:space="preserve">Indonesian regulatory context: Indonesian regulators have varying levels of familiarity with ISO 27001 as of 2026. OJK examiners increasingly recognize ISO 27001 as evidence of IT governance maturity, particularly in the context of POJK 11/2022 compliance. KOMINFO's UU PDP guidance acknowledges ISO 27001 as a relevant security standard. BSSN references it in cybersecurity frameworks. When submitting the certificate to regulators, include a brief explanatory note stating what ISO 27001 is, who the certifying body is, and that the certifying body is accredited — regulators unfamiliar with the standard benefit from this context.</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Post-Certification ISMS Operational Calendar</w:t>
      </w:r>
    </w:p>
    <w:p>
      <w:pPr>
        <w:spacing w:after="80"/>
      </w:pPr>
      <w:r>
        <w:t xml:space="preserve"/>
      </w:r>
    </w:p>
    <w:p>
      <w:pPr>
        <w:spacing w:after="160" w:line="320"/>
        <w:jc w:val="both"/>
      </w:pPr>
      <w:r>
        <w:rPr>
          <w:rFonts w:ascii="Georgia" w:cs="Georgia" w:eastAsia="Georgia" w:hAnsi="Georgia"/>
          <w:color w:val="111827"/>
          <w:sz w:val="22"/>
          <w:szCs w:val="22"/>
        </w:rPr>
        <w:t xml:space="preserve">Maintaining certification requires operating the ISMS consistently — not just before surveillance audits. The calendar below maps the complete set of recurring ISMS activities organized by frequency. These activities should be entered in the organizational calendar with owners assigned, not treated as ad hoc activities to be remembered:</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BEAFE" w:sz="1"/>
              <w:left w:val="single" w:color="DBEAFE" w:sz="1"/>
              <w:bottom w:val="single" w:color="DBEAFE" w:sz="1"/>
              <w:right w:val="single" w:color="DBEAFE" w:sz="1"/>
            </w:tcBorders>
            <w:shd w:fill="1B3A5C" w:val="clear"/>
            <w:tcMar>
              <w:top w:type="dxa" w:w="80"/>
              <w:left w:type="dxa" w:w="130"/>
              <w:bottom w:type="dxa" w:w="80"/>
              <w:right w:type="dxa" w:w="130"/>
            </w:tcMar>
          </w:tcPr>
          <w:p>
            <w:r>
              <w:rPr>
                <w:rFonts w:ascii="Arial" w:cs="Arial" w:eastAsia="Arial" w:hAnsi="Arial"/>
                <w:b/>
                <w:bCs/>
                <w:color w:val="FFFFFF"/>
                <w:sz w:val="20"/>
                <w:szCs w:val="20"/>
              </w:rPr>
              <w:t xml:space="preserve">Monthly</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pStyle w:val="ListParagraph"/>
              <w:numPr>
                <w:ilvl w:val="0"/>
                <w:numId w:val="2"/>
              </w:numPr>
              <w:spacing w:after="70"/>
            </w:pPr>
            <w:r>
              <w:rPr>
                <w:rFonts w:ascii="Georgia" w:cs="Georgia" w:eastAsia="Georgia" w:hAnsi="Georgia"/>
                <w:color w:val="111827"/>
                <w:sz w:val="20"/>
                <w:szCs w:val="20"/>
              </w:rPr>
              <w:t xml:space="preserve">Review ISMS KPI dashboard — check all metrics against targets. Flag metrics outside target range for investigation.</w:t>
            </w:r>
          </w:p>
          <w:p>
            <w:pPr>
              <w:pStyle w:val="ListParagraph"/>
              <w:numPr>
                <w:ilvl w:val="0"/>
                <w:numId w:val="2"/>
              </w:numPr>
              <w:spacing w:after="70"/>
            </w:pPr>
            <w:r>
              <w:rPr>
                <w:rFonts w:ascii="Georgia" w:cs="Georgia" w:eastAsia="Georgia" w:hAnsi="Georgia"/>
                <w:color w:val="111827"/>
                <w:sz w:val="20"/>
                <w:szCs w:val="20"/>
              </w:rPr>
              <w:t xml:space="preserve">Review corrective action register — check progress on open CARs. Escalate any approaching deadline.</w:t>
            </w:r>
          </w:p>
          <w:p>
            <w:pPr>
              <w:pStyle w:val="ListParagraph"/>
              <w:numPr>
                <w:ilvl w:val="0"/>
                <w:numId w:val="2"/>
              </w:numPr>
              <w:spacing w:after="70"/>
            </w:pPr>
            <w:r>
              <w:rPr>
                <w:rFonts w:ascii="Georgia" w:cs="Georgia" w:eastAsia="Georgia" w:hAnsi="Georgia"/>
                <w:color w:val="111827"/>
                <w:sz w:val="20"/>
                <w:szCs w:val="20"/>
              </w:rPr>
              <w:t xml:space="preserve">Review document register — check for overdue policy or procedure reviews.</w:t>
            </w:r>
          </w:p>
          <w:p>
            <w:pPr>
              <w:pStyle w:val="ListParagraph"/>
              <w:numPr>
                <w:ilvl w:val="0"/>
                <w:numId w:val="2"/>
              </w:numPr>
              <w:spacing w:after="70"/>
            </w:pPr>
            <w:r>
              <w:rPr>
                <w:rFonts w:ascii="Georgia" w:cs="Georgia" w:eastAsia="Georgia" w:hAnsi="Georgia"/>
                <w:color w:val="111827"/>
                <w:sz w:val="20"/>
                <w:szCs w:val="20"/>
              </w:rPr>
              <w:t xml:space="preserve">Review ISMS calendar — confirm upcoming activities are scheduled and owners are aware.</w:t>
            </w:r>
          </w:p>
          <w:p>
            <w:pPr>
              <w:pStyle w:val="ListParagraph"/>
              <w:numPr>
                <w:ilvl w:val="0"/>
                <w:numId w:val="2"/>
              </w:numPr>
              <w:spacing w:after="70"/>
            </w:pPr>
            <w:r>
              <w:rPr>
                <w:rFonts w:ascii="Georgia" w:cs="Georgia" w:eastAsia="Georgia" w:hAnsi="Georgia"/>
                <w:color w:val="111827"/>
                <w:sz w:val="20"/>
                <w:szCs w:val="20"/>
              </w:rPr>
              <w:t xml:space="preserve">Review incident log — check entries are current. Investigate any P1/P2 incidents from the month.</w:t>
            </w:r>
          </w:p>
        </w:tc>
      </w:tr>
      <w:tr>
        <w:tc>
          <w:tcPr>
            <w:tcW w:type="dxa" w:w="9360"/>
            <w:tcBorders>
              <w:top w:val="single" w:color="DBEAFE" w:sz="1"/>
              <w:left w:val="single" w:color="DBEAFE" w:sz="1"/>
              <w:bottom w:val="single" w:color="DBEAFE" w:sz="1"/>
              <w:right w:val="single" w:color="DBEAFE" w:sz="1"/>
            </w:tcBorders>
            <w:shd w:fill="2563A8" w:val="clear"/>
            <w:tcMar>
              <w:top w:type="dxa" w:w="80"/>
              <w:left w:type="dxa" w:w="130"/>
              <w:bottom w:type="dxa" w:w="80"/>
              <w:right w:type="dxa" w:w="130"/>
            </w:tcMar>
          </w:tcPr>
          <w:p>
            <w:r>
              <w:rPr>
                <w:rFonts w:ascii="Arial" w:cs="Arial" w:eastAsia="Arial" w:hAnsi="Arial"/>
                <w:b/>
                <w:bCs/>
                <w:color w:val="FFFFFF"/>
                <w:sz w:val="20"/>
                <w:szCs w:val="20"/>
              </w:rPr>
              <w:t xml:space="preserve">Quarterly</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pStyle w:val="ListParagraph"/>
              <w:numPr>
                <w:ilvl w:val="0"/>
                <w:numId w:val="2"/>
              </w:numPr>
              <w:spacing w:after="70"/>
            </w:pPr>
            <w:r>
              <w:rPr>
                <w:rFonts w:ascii="Georgia" w:cs="Georgia" w:eastAsia="Georgia" w:hAnsi="Georgia"/>
                <w:color w:val="111827"/>
                <w:sz w:val="20"/>
                <w:szCs w:val="20"/>
              </w:rPr>
              <w:t xml:space="preserve">Conduct quarterly access review for all in-scope systems. Produce and retain evidence.</w:t>
            </w:r>
          </w:p>
          <w:p>
            <w:pPr>
              <w:pStyle w:val="ListParagraph"/>
              <w:numPr>
                <w:ilvl w:val="0"/>
                <w:numId w:val="2"/>
              </w:numPr>
              <w:spacing w:after="70"/>
            </w:pPr>
            <w:r>
              <w:rPr>
                <w:rFonts w:ascii="Georgia" w:cs="Georgia" w:eastAsia="Georgia" w:hAnsi="Georgia"/>
                <w:color w:val="111827"/>
                <w:sz w:val="20"/>
                <w:szCs w:val="20"/>
              </w:rPr>
              <w:t xml:space="preserve">Run phishing simulation — record results and action targeted training for clickers.</w:t>
            </w:r>
          </w:p>
          <w:p>
            <w:pPr>
              <w:pStyle w:val="ListParagraph"/>
              <w:numPr>
                <w:ilvl w:val="0"/>
                <w:numId w:val="2"/>
              </w:numPr>
              <w:spacing w:after="70"/>
            </w:pPr>
            <w:r>
              <w:rPr>
                <w:rFonts w:ascii="Georgia" w:cs="Georgia" w:eastAsia="Georgia" w:hAnsi="Georgia"/>
                <w:color w:val="111827"/>
                <w:sz w:val="20"/>
                <w:szCs w:val="20"/>
              </w:rPr>
              <w:t xml:space="preserve">Vulnerability scan — review results, assign remediation for critical/high findings.</w:t>
            </w:r>
          </w:p>
          <w:p>
            <w:pPr>
              <w:pStyle w:val="ListParagraph"/>
              <w:numPr>
                <w:ilvl w:val="0"/>
                <w:numId w:val="2"/>
              </w:numPr>
              <w:spacing w:after="70"/>
            </w:pPr>
            <w:r>
              <w:rPr>
                <w:rFonts w:ascii="Georgia" w:cs="Georgia" w:eastAsia="Georgia" w:hAnsi="Georgia"/>
                <w:color w:val="111827"/>
                <w:sz w:val="20"/>
                <w:szCs w:val="20"/>
              </w:rPr>
              <w:t xml:space="preserve">Supplier monitoring review — check overdue supplier reviews, update monitoring records.</w:t>
            </w:r>
          </w:p>
          <w:p>
            <w:pPr>
              <w:pStyle w:val="ListParagraph"/>
              <w:numPr>
                <w:ilvl w:val="0"/>
                <w:numId w:val="2"/>
              </w:numPr>
              <w:spacing w:after="70"/>
            </w:pPr>
            <w:r>
              <w:rPr>
                <w:rFonts w:ascii="Georgia" w:cs="Georgia" w:eastAsia="Georgia" w:hAnsi="Georgia"/>
                <w:color w:val="111827"/>
                <w:sz w:val="20"/>
                <w:szCs w:val="20"/>
              </w:rPr>
              <w:t xml:space="preserve">ISMS steering committee meeting — review program status, resource needs, upcoming audit preparation.</w:t>
            </w:r>
          </w:p>
        </w:tc>
      </w:tr>
      <w:tr>
        <w:tc>
          <w:tcPr>
            <w:tcW w:type="dxa" w:w="9360"/>
            <w:tcBorders>
              <w:top w:val="single" w:color="DBEAFE" w:sz="1"/>
              <w:left w:val="single" w:color="DBEAFE" w:sz="1"/>
              <w:bottom w:val="single" w:color="DBEAFE" w:sz="1"/>
              <w:right w:val="single" w:color="DBEAFE" w:sz="1"/>
            </w:tcBorders>
            <w:shd w:fill="0F766E" w:val="clear"/>
            <w:tcMar>
              <w:top w:type="dxa" w:w="80"/>
              <w:left w:type="dxa" w:w="130"/>
              <w:bottom w:type="dxa" w:w="80"/>
              <w:right w:type="dxa" w:w="130"/>
            </w:tcMar>
          </w:tcPr>
          <w:p>
            <w:r>
              <w:rPr>
                <w:rFonts w:ascii="Arial" w:cs="Arial" w:eastAsia="Arial" w:hAnsi="Arial"/>
                <w:b/>
                <w:bCs/>
                <w:color w:val="FFFFFF"/>
                <w:sz w:val="20"/>
                <w:szCs w:val="20"/>
              </w:rPr>
              <w:t xml:space="preserve">Semi-annually</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pStyle w:val="ListParagraph"/>
              <w:numPr>
                <w:ilvl w:val="0"/>
                <w:numId w:val="2"/>
              </w:numPr>
              <w:spacing w:after="70"/>
            </w:pPr>
            <w:r>
              <w:rPr>
                <w:rFonts w:ascii="Georgia" w:cs="Georgia" w:eastAsia="Georgia" w:hAnsi="Georgia"/>
                <w:color w:val="111827"/>
                <w:sz w:val="20"/>
                <w:szCs w:val="20"/>
              </w:rPr>
              <w:t xml:space="preserve">Security awareness training — refresh module, verify completion records are current.</w:t>
            </w:r>
          </w:p>
          <w:p>
            <w:pPr>
              <w:pStyle w:val="ListParagraph"/>
              <w:numPr>
                <w:ilvl w:val="0"/>
                <w:numId w:val="2"/>
              </w:numPr>
              <w:spacing w:after="70"/>
            </w:pPr>
            <w:r>
              <w:rPr>
                <w:rFonts w:ascii="Georgia" w:cs="Georgia" w:eastAsia="Georgia" w:hAnsi="Georgia"/>
                <w:color w:val="111827"/>
                <w:sz w:val="20"/>
                <w:szCs w:val="20"/>
              </w:rPr>
              <w:t xml:space="preserve">Risk register review — assess whether current risks remain accurate, identify any new risks from business changes.</w:t>
            </w:r>
          </w:p>
          <w:p>
            <w:pPr>
              <w:pStyle w:val="ListParagraph"/>
              <w:numPr>
                <w:ilvl w:val="0"/>
                <w:numId w:val="2"/>
              </w:numPr>
              <w:spacing w:after="70"/>
            </w:pPr>
            <w:r>
              <w:rPr>
                <w:rFonts w:ascii="Georgia" w:cs="Georgia" w:eastAsia="Georgia" w:hAnsi="Georgia"/>
                <w:color w:val="111827"/>
                <w:sz w:val="20"/>
                <w:szCs w:val="20"/>
              </w:rPr>
              <w:t xml:space="preserve">SoA review — verify implementation status entries are current, update any controls recently deployed or changed.</w:t>
            </w:r>
          </w:p>
        </w:tc>
      </w:tr>
      <w:tr>
        <w:tc>
          <w:tcPr>
            <w:tcW w:type="dxa" w:w="9360"/>
            <w:tcBorders>
              <w:top w:val="single" w:color="DBEAFE" w:sz="1"/>
              <w:left w:val="single" w:color="DBEAFE" w:sz="1"/>
              <w:bottom w:val="single" w:color="DBEAFE" w:sz="1"/>
              <w:right w:val="single" w:color="DBEAFE" w:sz="1"/>
            </w:tcBorders>
            <w:shd w:fill="3730A3" w:val="clear"/>
            <w:tcMar>
              <w:top w:type="dxa" w:w="80"/>
              <w:left w:type="dxa" w:w="130"/>
              <w:bottom w:type="dxa" w:w="80"/>
              <w:right w:type="dxa" w:w="130"/>
            </w:tcMar>
          </w:tcPr>
          <w:p>
            <w:r>
              <w:rPr>
                <w:rFonts w:ascii="Arial" w:cs="Arial" w:eastAsia="Arial" w:hAnsi="Arial"/>
                <w:b/>
                <w:bCs/>
                <w:color w:val="FFFFFF"/>
                <w:sz w:val="20"/>
                <w:szCs w:val="20"/>
              </w:rPr>
              <w:t xml:space="preserve">Annually</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pStyle w:val="ListParagraph"/>
              <w:numPr>
                <w:ilvl w:val="0"/>
                <w:numId w:val="2"/>
              </w:numPr>
              <w:spacing w:after="70"/>
            </w:pPr>
            <w:r>
              <w:rPr>
                <w:rFonts w:ascii="Georgia" w:cs="Georgia" w:eastAsia="Georgia" w:hAnsi="Georgia"/>
                <w:color w:val="111827"/>
                <w:sz w:val="20"/>
                <w:szCs w:val="20"/>
              </w:rPr>
              <w:t xml:space="preserve">Full risk assessment cycle — review all risks, update scores, assign owners for any new risks.</w:t>
            </w:r>
          </w:p>
          <w:p>
            <w:pPr>
              <w:pStyle w:val="ListParagraph"/>
              <w:numPr>
                <w:ilvl w:val="0"/>
                <w:numId w:val="2"/>
              </w:numPr>
              <w:spacing w:after="70"/>
            </w:pPr>
            <w:r>
              <w:rPr>
                <w:rFonts w:ascii="Georgia" w:cs="Georgia" w:eastAsia="Georgia" w:hAnsi="Georgia"/>
                <w:color w:val="111827"/>
                <w:sz w:val="20"/>
                <w:szCs w:val="20"/>
              </w:rPr>
              <w:t xml:space="preserve">Management review — all 8 Clause 9.3.2 inputs, documented decisions on improvement and resources.</w:t>
            </w:r>
          </w:p>
          <w:p>
            <w:pPr>
              <w:pStyle w:val="ListParagraph"/>
              <w:numPr>
                <w:ilvl w:val="0"/>
                <w:numId w:val="2"/>
              </w:numPr>
              <w:spacing w:after="70"/>
            </w:pPr>
            <w:r>
              <w:rPr>
                <w:rFonts w:ascii="Georgia" w:cs="Georgia" w:eastAsia="Georgia" w:hAnsi="Georgia"/>
                <w:color w:val="111827"/>
                <w:sz w:val="20"/>
                <w:szCs w:val="20"/>
              </w:rPr>
              <w:t xml:space="preserve">Internal audit — full scope audit covering all ISMS clause areas per the audit program schedule.</w:t>
            </w:r>
          </w:p>
          <w:p>
            <w:pPr>
              <w:pStyle w:val="ListParagraph"/>
              <w:numPr>
                <w:ilvl w:val="0"/>
                <w:numId w:val="2"/>
              </w:numPr>
              <w:spacing w:after="70"/>
            </w:pPr>
            <w:r>
              <w:rPr>
                <w:rFonts w:ascii="Georgia" w:cs="Georgia" w:eastAsia="Georgia" w:hAnsi="Georgia"/>
                <w:color w:val="111827"/>
                <w:sz w:val="20"/>
                <w:szCs w:val="20"/>
              </w:rPr>
              <w:t xml:space="preserve">Policy and procedure review — annual review for all controlled documents; update where regulations, context, or operations have changed.</w:t>
            </w:r>
          </w:p>
          <w:p>
            <w:pPr>
              <w:pStyle w:val="ListParagraph"/>
              <w:numPr>
                <w:ilvl w:val="0"/>
                <w:numId w:val="2"/>
              </w:numPr>
              <w:spacing w:after="70"/>
            </w:pPr>
            <w:r>
              <w:rPr>
                <w:rFonts w:ascii="Georgia" w:cs="Georgia" w:eastAsia="Georgia" w:hAnsi="Georgia"/>
                <w:color w:val="111827"/>
                <w:sz w:val="20"/>
                <w:szCs w:val="20"/>
              </w:rPr>
              <w:t xml:space="preserve">Competence review — verify all ISMS role holders have current evidence; schedule training for gaps.</w:t>
            </w:r>
          </w:p>
          <w:p>
            <w:pPr>
              <w:pStyle w:val="ListParagraph"/>
              <w:numPr>
                <w:ilvl w:val="0"/>
                <w:numId w:val="2"/>
              </w:numPr>
              <w:spacing w:after="70"/>
            </w:pPr>
            <w:r>
              <w:rPr>
                <w:rFonts w:ascii="Georgia" w:cs="Georgia" w:eastAsia="Georgia" w:hAnsi="Georgia"/>
                <w:color w:val="111827"/>
                <w:sz w:val="20"/>
                <w:szCs w:val="20"/>
              </w:rPr>
              <w:t xml:space="preserve">Surveillance audit preparation — evidence dry run 6 weeks before audit date.</w:t>
            </w:r>
          </w:p>
          <w:p>
            <w:pPr>
              <w:pStyle w:val="ListParagraph"/>
              <w:numPr>
                <w:ilvl w:val="0"/>
                <w:numId w:val="2"/>
              </w:numPr>
              <w:spacing w:after="70"/>
            </w:pPr>
            <w:r>
              <w:rPr>
                <w:rFonts w:ascii="Georgia" w:cs="Georgia" w:eastAsia="Georgia" w:hAnsi="Georgia"/>
                <w:color w:val="111827"/>
                <w:sz w:val="20"/>
                <w:szCs w:val="20"/>
              </w:rPr>
              <w:t xml:space="preserve">Risk owner briefings — annual briefing for all designated risk owners on risk register status and acceptance.</w:t>
            </w:r>
          </w:p>
        </w:tc>
      </w:tr>
      <w:tr>
        <w:tc>
          <w:tcPr>
            <w:tcW w:type="dxa" w:w="9360"/>
            <w:tcBorders>
              <w:top w:val="single" w:color="DBEAFE" w:sz="1"/>
              <w:left w:val="single" w:color="DBEAFE" w:sz="1"/>
              <w:bottom w:val="single" w:color="DBEAFE" w:sz="1"/>
              <w:right w:val="single" w:color="DBEAFE" w:sz="1"/>
            </w:tcBorders>
            <w:shd w:fill="6D28D9" w:val="clear"/>
            <w:tcMar>
              <w:top w:type="dxa" w:w="80"/>
              <w:left w:type="dxa" w:w="130"/>
              <w:bottom w:type="dxa" w:w="80"/>
              <w:right w:type="dxa" w:w="130"/>
            </w:tcMar>
          </w:tcPr>
          <w:p>
            <w:r>
              <w:rPr>
                <w:rFonts w:ascii="Arial" w:cs="Arial" w:eastAsia="Arial" w:hAnsi="Arial"/>
                <w:b/>
                <w:bCs/>
                <w:color w:val="FFFFFF"/>
                <w:sz w:val="20"/>
                <w:szCs w:val="20"/>
              </w:rPr>
              <w:t xml:space="preserve">Event-triggered</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pStyle w:val="ListParagraph"/>
              <w:numPr>
                <w:ilvl w:val="0"/>
                <w:numId w:val="2"/>
              </w:numPr>
              <w:spacing w:after="70"/>
            </w:pPr>
            <w:r>
              <w:rPr>
                <w:rFonts w:ascii="Georgia" w:cs="Georgia" w:eastAsia="Georgia" w:hAnsi="Georgia"/>
                <w:color w:val="111827"/>
                <w:sz w:val="20"/>
                <w:szCs w:val="20"/>
              </w:rPr>
              <w:t xml:space="preserve">Significant organizational change → Update scope, risk register, and SoA. Brief affected staff.</w:t>
            </w:r>
          </w:p>
          <w:p>
            <w:pPr>
              <w:pStyle w:val="ListParagraph"/>
              <w:numPr>
                <w:ilvl w:val="0"/>
                <w:numId w:val="2"/>
              </w:numPr>
              <w:spacing w:after="70"/>
            </w:pPr>
            <w:r>
              <w:rPr>
                <w:rFonts w:ascii="Georgia" w:cs="Georgia" w:eastAsia="Georgia" w:hAnsi="Georgia"/>
                <w:color w:val="111827"/>
                <w:sz w:val="20"/>
                <w:szCs w:val="20"/>
              </w:rPr>
              <w:t xml:space="preserve">New regulatory requirement → Update context analysis, risk register, IS policy regulatory references, affected procedures.</w:t>
            </w:r>
          </w:p>
          <w:p>
            <w:pPr>
              <w:pStyle w:val="ListParagraph"/>
              <w:numPr>
                <w:ilvl w:val="0"/>
                <w:numId w:val="2"/>
              </w:numPr>
              <w:spacing w:after="70"/>
            </w:pPr>
            <w:r>
              <w:rPr>
                <w:rFonts w:ascii="Georgia" w:cs="Georgia" w:eastAsia="Georgia" w:hAnsi="Georgia"/>
                <w:color w:val="111827"/>
                <w:sz w:val="20"/>
                <w:szCs w:val="20"/>
              </w:rPr>
              <w:t xml:space="preserve">Security incident (P1/P2) → Post-incident review. Update risk register. Corrective action if controls failed.</w:t>
            </w:r>
          </w:p>
          <w:p>
            <w:pPr>
              <w:pStyle w:val="ListParagraph"/>
              <w:numPr>
                <w:ilvl w:val="0"/>
                <w:numId w:val="2"/>
              </w:numPr>
              <w:spacing w:after="70"/>
            </w:pPr>
            <w:r>
              <w:rPr>
                <w:rFonts w:ascii="Georgia" w:cs="Georgia" w:eastAsia="Georgia" w:hAnsi="Georgia"/>
                <w:color w:val="111827"/>
                <w:sz w:val="20"/>
                <w:szCs w:val="20"/>
              </w:rPr>
              <w:t xml:space="preserve">Key staff change (ISMS role) → Update RACI. Ensure incoming person has required competence. Brief on current ISMS status.</w:t>
            </w:r>
          </w:p>
          <w:p>
            <w:pPr>
              <w:pStyle w:val="ListParagraph"/>
              <w:numPr>
                <w:ilvl w:val="0"/>
                <w:numId w:val="2"/>
              </w:numPr>
              <w:spacing w:after="70"/>
            </w:pPr>
            <w:r>
              <w:rPr>
                <w:rFonts w:ascii="Georgia" w:cs="Georgia" w:eastAsia="Georgia" w:hAnsi="Georgia"/>
                <w:color w:val="111827"/>
                <w:sz w:val="20"/>
                <w:szCs w:val="20"/>
              </w:rPr>
              <w:t xml:space="preserve">Supplier security incident → Assess impact on ISMS risks. Update supplier register and monitoring record.</w:t>
            </w:r>
          </w:p>
          <w:p>
            <w:pPr>
              <w:pStyle w:val="ListParagraph"/>
              <w:numPr>
                <w:ilvl w:val="0"/>
                <w:numId w:val="2"/>
              </w:numPr>
              <w:spacing w:after="70"/>
            </w:pPr>
            <w:r>
              <w:rPr>
                <w:rFonts w:ascii="Georgia" w:cs="Georgia" w:eastAsia="Georgia" w:hAnsi="Georgia"/>
                <w:color w:val="111827"/>
                <w:sz w:val="20"/>
                <w:szCs w:val="20"/>
              </w:rPr>
              <w:t xml:space="preserve">Major technology change → Update asset inventory, risk register, and SoA applicability decisions.</w:t>
            </w:r>
          </w:p>
        </w:tc>
      </w:tr>
    </w:tbl>
    <w:p>
      <w:pPr>
        <w:spacing w:after="160"/>
      </w:pPr>
      <w:r>
        <w:t xml:space="preserve"/>
      </w:r>
    </w:p>
    <w:p>
      <w:pPr>
        <w:spacing w:after="160" w:line="320"/>
        <w:jc w:val="both"/>
      </w:pPr>
      <w:r>
        <w:rPr>
          <w:rFonts w:ascii="Georgia" w:cs="Georgia" w:eastAsia="Georgia" w:hAnsi="Georgia"/>
          <w:color w:val="111827"/>
          <w:sz w:val="22"/>
          <w:szCs w:val="22"/>
        </w:rPr>
        <w:t xml:space="preserve">The event-triggered activities in the table above are the most commonly missed in post-certification ISMS programs. Organizations that update the ISMS in response to planned events (scheduled risk assessments, annual reviews) but fail to update it in response to unplanned changes (new regulations, technology changes, organizational restructuring) accumulate ISMS drift — a growing gap between the documented ISMS and the actual operational reality. ISMS drift is what surveillance auditors find.</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Managing Scope Changes</w:t>
      </w:r>
    </w:p>
    <w:p>
      <w:pPr>
        <w:spacing w:after="80"/>
      </w:pPr>
      <w:r>
        <w:t xml:space="preserve"/>
      </w:r>
    </w:p>
    <w:p>
      <w:pPr>
        <w:spacing w:after="160" w:line="320"/>
        <w:jc w:val="both"/>
      </w:pPr>
      <w:r>
        <w:rPr>
          <w:rFonts w:ascii="Georgia" w:cs="Georgia" w:eastAsia="Georgia" w:hAnsi="Georgia"/>
          <w:color w:val="111827"/>
          <w:sz w:val="22"/>
          <w:szCs w:val="22"/>
        </w:rPr>
        <w:t xml:space="preserve">The ISMS scope at certification is the scope verified by the CB. Any material change to that scope — adding services, changing technology platforms, acquiring new entities, changing organizational structure — requires an ISMS update and potentially CB notification. The contractual relationship with the CB governs what changes must be notified and when.</w:t>
      </w:r>
    </w:p>
    <w:p>
      <w:pPr>
        <w:spacing w:after="80"/>
      </w:pPr>
      <w:r>
        <w:t xml:space="preserve"/>
      </w:r>
    </w:p>
    <w:p>
      <w:pPr>
        <w:spacing w:after="160" w:line="320"/>
        <w:jc w:val="both"/>
      </w:pPr>
      <w:r>
        <w:rPr>
          <w:rFonts w:ascii="Georgia" w:cs="Georgia" w:eastAsia="Georgia" w:hAnsi="Georgia"/>
          <w:color w:val="111827"/>
          <w:sz w:val="22"/>
          <w:szCs w:val="22"/>
        </w:rPr>
        <w:t xml:space="preserve">The table below maps the most common scope change scenarios for Indonesian organizations, the ISMS update process required, and the notification timing:</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1680"/>
        <w:gridCol w:w="3480"/>
        <w:gridCol w:w="2200"/>
      </w:tblGrid>
      <w:tr>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Change type</w:t>
            </w:r>
          </w:p>
        </w:tc>
        <w:tc>
          <w:tcPr>
            <w:tcW w:type="dxa" w:w="16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Trigger</w:t>
            </w:r>
          </w:p>
        </w:tc>
        <w:tc>
          <w:tcPr>
            <w:tcW w:type="dxa" w:w="34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ISMS update process</w:t>
            </w:r>
          </w:p>
        </w:tc>
        <w:tc>
          <w:tcPr>
            <w:tcW w:type="dxa" w:w="2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Timing</w:t>
            </w:r>
          </w:p>
        </w:tc>
      </w:tr>
      <w:tr>
        <w:tc>
          <w:tcPr>
            <w:tcW w:type="dxa" w:w="2000"/>
            <w:tcBorders>
              <w:top w:val="single" w:color="DBEAFE" w:sz="1"/>
              <w:left w:val="single" w:color="DBEAFE" w:sz="1"/>
              <w:bottom w:val="single" w:color="DBEAFE" w:sz="1"/>
              <w:right w:val="single" w:color="DBEAFE" w:sz="1"/>
            </w:tcBorders>
            <w:shd w:fill="1B3A5C" w:val="clear"/>
            <w:tcMar>
              <w:top w:type="dxa" w:w="100"/>
              <w:left w:type="dxa" w:w="110"/>
              <w:bottom w:type="dxa" w:w="100"/>
              <w:right w:type="dxa" w:w="110"/>
            </w:tcMar>
          </w:tcPr>
          <w:p>
            <w:r>
              <w:rPr>
                <w:rFonts w:ascii="Arial" w:cs="Arial" w:eastAsia="Arial" w:hAnsi="Arial"/>
                <w:b/>
                <w:bCs/>
                <w:color w:val="FFFFFF"/>
                <w:sz w:val="18"/>
                <w:szCs w:val="18"/>
              </w:rPr>
              <w:t xml:space="preserve">Adding a new service or product</w:t>
            </w:r>
          </w:p>
        </w:tc>
        <w:tc>
          <w:tcPr>
            <w:tcW w:type="dxa" w:w="168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i/>
                <w:iCs/>
                <w:color w:val="111827"/>
                <w:sz w:val="17"/>
                <w:szCs w:val="17"/>
              </w:rPr>
              <w:t xml:space="preserve">New service handles personal data, financial transactions, or classified information that brings new assets and risks within scope.</w:t>
            </w:r>
          </w:p>
        </w:tc>
        <w:tc>
          <w:tcPr>
            <w:tcW w:type="dxa" w:w="348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Notify CB. Conduct targeted risk assessment for the new scope area. Update SoA for any new applicable controls. Update scope statement and ISMS documentation. CB may require a scope extension audit before covering the expanded scope.</w:t>
            </w:r>
          </w:p>
        </w:tc>
        <w:tc>
          <w:tcPr>
            <w:tcW w:type="dxa" w:w="220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Georgia" w:cs="Georgia" w:eastAsia="Georgia" w:hAnsi="Georgia"/>
                <w:color w:val="B45309"/>
                <w:sz w:val="17"/>
                <w:szCs w:val="17"/>
              </w:rPr>
              <w:t xml:space="preserve">Before the new service goes live in production, or within the current certification cycle as agreed with CB.</w:t>
            </w:r>
          </w:p>
        </w:tc>
      </w:tr>
      <w:tr>
        <w:tc>
          <w:tcPr>
            <w:tcW w:type="dxa" w:w="2000"/>
            <w:tcBorders>
              <w:top w:val="single" w:color="DBEAFE" w:sz="1"/>
              <w:left w:val="single" w:color="DBEAFE" w:sz="1"/>
              <w:bottom w:val="single" w:color="DBEAFE" w:sz="1"/>
              <w:right w:val="single" w:color="DBEAFE" w:sz="1"/>
            </w:tcBorders>
            <w:shd w:fill="2563A8" w:val="clear"/>
            <w:tcMar>
              <w:top w:type="dxa" w:w="100"/>
              <w:left w:type="dxa" w:w="110"/>
              <w:bottom w:type="dxa" w:w="100"/>
              <w:right w:type="dxa" w:w="110"/>
            </w:tcMar>
          </w:tcPr>
          <w:p>
            <w:r>
              <w:rPr>
                <w:rFonts w:ascii="Arial" w:cs="Arial" w:eastAsia="Arial" w:hAnsi="Arial"/>
                <w:b/>
                <w:bCs/>
                <w:color w:val="FFFFFF"/>
                <w:sz w:val="18"/>
                <w:szCs w:val="18"/>
              </w:rPr>
              <w:t xml:space="preserve">Significant technology platform change</w:t>
            </w:r>
          </w:p>
        </w:tc>
        <w:tc>
          <w:tcPr>
            <w:tcW w:type="dxa" w:w="168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i/>
                <w:iCs/>
                <w:color w:val="111827"/>
                <w:sz w:val="17"/>
                <w:szCs w:val="17"/>
              </w:rPr>
              <w:t xml:space="preserve">Migration to new cloud platform, major application re-architecture, adoption of new technology stack that affects in-scope systems.</w:t>
            </w:r>
          </w:p>
        </w:tc>
        <w:tc>
          <w:tcPr>
            <w:tcW w:type="dxa" w:w="348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Update asset inventory and risk register. Review SoA applicability decisions for new technology (e.g. cloud-specific controls). Update technical procedures. Notify CB if the change materially affects the certified scope.</w:t>
            </w:r>
          </w:p>
        </w:tc>
        <w:tc>
          <w:tcPr>
            <w:tcW w:type="dxa" w:w="220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Georgia" w:cs="Georgia" w:eastAsia="Georgia" w:hAnsi="Georgia"/>
                <w:color w:val="B45309"/>
                <w:sz w:val="17"/>
                <w:szCs w:val="17"/>
              </w:rPr>
              <w:t xml:space="preserve">ISMS update concurrent with or immediately after technical change. CB notification if material.</w:t>
            </w:r>
          </w:p>
        </w:tc>
      </w:tr>
      <w:tr>
        <w:tc>
          <w:tcPr>
            <w:tcW w:type="dxa" w:w="20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8"/>
                <w:szCs w:val="18"/>
              </w:rPr>
              <w:t xml:space="preserve">Organizational restructuring</w:t>
            </w:r>
          </w:p>
        </w:tc>
        <w:tc>
          <w:tcPr>
            <w:tcW w:type="dxa" w:w="168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i/>
                <w:iCs/>
                <w:color w:val="111827"/>
                <w:sz w:val="17"/>
                <w:szCs w:val="17"/>
              </w:rPr>
              <w:t xml:space="preserve">Merger, acquisition, significant reorganization that changes which teams and business units are in scope, or that introduces new in-scope assets from acquired entities.</w:t>
            </w:r>
          </w:p>
        </w:tc>
        <w:tc>
          <w:tcPr>
            <w:tcW w:type="dxa" w:w="348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Reassess scope statement. Update interested parties register and context analysis. Extend risk assessment to cover newly in-scope entities or assets. Notify CB — major restructuring may require scope amendment audit.</w:t>
            </w:r>
          </w:p>
        </w:tc>
        <w:tc>
          <w:tcPr>
            <w:tcW w:type="dxa" w:w="220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Georgia" w:cs="Georgia" w:eastAsia="Georgia" w:hAnsi="Georgia"/>
                <w:color w:val="B45309"/>
                <w:sz w:val="17"/>
                <w:szCs w:val="17"/>
              </w:rPr>
              <w:t xml:space="preserve">Notify CB promptly on change confirmation. ISMS scope update within 60 days.</w:t>
            </w:r>
          </w:p>
        </w:tc>
      </w:tr>
      <w:tr>
        <w:tc>
          <w:tcPr>
            <w:tcW w:type="dxa" w:w="2000"/>
            <w:tcBorders>
              <w:top w:val="single" w:color="DBEAFE" w:sz="1"/>
              <w:left w:val="single" w:color="DBEAFE" w:sz="1"/>
              <w:bottom w:val="single" w:color="DBEAFE" w:sz="1"/>
              <w:right w:val="single" w:color="DBEAFE" w:sz="1"/>
            </w:tcBorders>
            <w:shd w:fill="3730A3" w:val="clear"/>
            <w:tcMar>
              <w:top w:type="dxa" w:w="100"/>
              <w:left w:type="dxa" w:w="110"/>
              <w:bottom w:type="dxa" w:w="100"/>
              <w:right w:type="dxa" w:w="110"/>
            </w:tcMar>
          </w:tcPr>
          <w:p>
            <w:r>
              <w:rPr>
                <w:rFonts w:ascii="Arial" w:cs="Arial" w:eastAsia="Arial" w:hAnsi="Arial"/>
                <w:b/>
                <w:bCs/>
                <w:color w:val="FFFFFF"/>
                <w:sz w:val="18"/>
                <w:szCs w:val="18"/>
              </w:rPr>
              <w:t xml:space="preserve">New regulatory requirement</w:t>
            </w:r>
          </w:p>
        </w:tc>
        <w:tc>
          <w:tcPr>
            <w:tcW w:type="dxa" w:w="168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i/>
                <w:iCs/>
                <w:color w:val="111827"/>
                <w:sz w:val="17"/>
                <w:szCs w:val="17"/>
              </w:rPr>
              <w:t xml:space="preserve">New regulation with specific information security obligations enacted — UU PDP implementing regulation, new POJK circular, new BSSN technical standard.</w:t>
            </w:r>
          </w:p>
        </w:tc>
        <w:tc>
          <w:tcPr>
            <w:tcW w:type="dxa" w:w="348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Update context analysis and interested parties register. Assess whether new requirements create new risks not covered by current controls. Update IS policy regulatory references. Update relevant procedures. Notify CB if change affects ISMS scope or control coverage.</w:t>
            </w:r>
          </w:p>
        </w:tc>
        <w:tc>
          <w:tcPr>
            <w:tcW w:type="dxa" w:w="220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Georgia" w:cs="Georgia" w:eastAsia="Georgia" w:hAnsi="Georgia"/>
                <w:color w:val="B45309"/>
                <w:sz w:val="17"/>
                <w:szCs w:val="17"/>
              </w:rPr>
              <w:t xml:space="preserve">Context analysis update within 30 days of regulation publication. CB notification if material impact on scope or controls.</w:t>
            </w:r>
          </w:p>
        </w:tc>
      </w:tr>
      <w:tr>
        <w:tc>
          <w:tcPr>
            <w:tcW w:type="dxa" w:w="2000"/>
            <w:tcBorders>
              <w:top w:val="single" w:color="DBEAFE" w:sz="1"/>
              <w:left w:val="single" w:color="DBEAFE" w:sz="1"/>
              <w:bottom w:val="single" w:color="DBEAFE" w:sz="1"/>
              <w:right w:val="single" w:color="DBEAFE" w:sz="1"/>
            </w:tcBorders>
            <w:shd w:fill="B45309" w:val="clear"/>
            <w:tcMar>
              <w:top w:type="dxa" w:w="100"/>
              <w:left w:type="dxa" w:w="110"/>
              <w:bottom w:type="dxa" w:w="100"/>
              <w:right w:type="dxa" w:w="110"/>
            </w:tcMar>
          </w:tcPr>
          <w:p>
            <w:r>
              <w:rPr>
                <w:rFonts w:ascii="Arial" w:cs="Arial" w:eastAsia="Arial" w:hAnsi="Arial"/>
                <w:b/>
                <w:bCs/>
                <w:color w:val="FFFFFF"/>
                <w:sz w:val="18"/>
                <w:szCs w:val="18"/>
              </w:rPr>
              <w:t xml:space="preserve">Reduction in scope</w:t>
            </w:r>
          </w:p>
        </w:tc>
        <w:tc>
          <w:tcPr>
            <w:tcW w:type="dxa" w:w="168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i/>
                <w:iCs/>
                <w:color w:val="111827"/>
                <w:sz w:val="17"/>
                <w:szCs w:val="17"/>
              </w:rPr>
              <w:t xml:space="preserve">Organization discontinues a service that was within ISMS scope, or divests a business unit that was included.</w:t>
            </w:r>
          </w:p>
        </w:tc>
        <w:tc>
          <w:tcPr>
            <w:tcW w:type="dxa" w:w="348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Update scope statement with exclusion and rationale. Review risk register — remove risks specific to the removed scope. Update SoA — controls relevant only to removed scope may become not applicable. Notify CB — scope reduction requires certificate amendment.</w:t>
            </w:r>
          </w:p>
        </w:tc>
        <w:tc>
          <w:tcPr>
            <w:tcW w:type="dxa" w:w="220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Georgia" w:cs="Georgia" w:eastAsia="Georgia" w:hAnsi="Georgia"/>
                <w:color w:val="B45309"/>
                <w:sz w:val="17"/>
                <w:szCs w:val="17"/>
              </w:rPr>
              <w:t xml:space="preserve">Notify CB immediately on scope change decision. CB will issue an amended certificate with the revised scope.</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6D28D9" w:sz="1"/>
              <w:left w:val="single" w:color="6D28D9" w:sz="12"/>
              <w:bottom w:val="single" w:color="6D28D9" w:sz="1"/>
              <w:right w:val="single" w:color="6D28D9" w:sz="1"/>
            </w:tcBorders>
            <w:shd w:fill="F5F3FF" w:val="clear"/>
            <w:tcMar>
              <w:top w:type="dxa" w:w="140"/>
              <w:left w:type="dxa" w:w="200"/>
              <w:bottom w:type="dxa" w:w="140"/>
              <w:right w:type="dxa" w:w="160"/>
            </w:tcMar>
          </w:tcPr>
          <w:p>
            <w:r>
              <w:rPr>
                <w:rFonts w:ascii="Georgia" w:cs="Georgia" w:eastAsia="Georgia" w:hAnsi="Georgia"/>
                <w:i/>
                <w:iCs/>
                <w:color w:val="6D28D9"/>
                <w:sz w:val="21"/>
                <w:szCs w:val="21"/>
              </w:rPr>
              <w:t xml:space="preserve">Proactive CB notification: Most CB contracts require notification of significant changes within a specified timeframe — typically 30–60 days. Organizations that notify promptly maintain an open, professional relationship with their CB. Organizations that notify only when asked — or that fail to notify at all — risk discovering that a change they made six months ago has not been managed through the ISMS, which creates a potential retrospective nonconformity when the CB discovers it at surveillance.</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Certificate Suspension and Withdrawal</w:t>
      </w:r>
    </w:p>
    <w:p>
      <w:pPr>
        <w:spacing w:after="80"/>
      </w:pPr>
      <w:r>
        <w:t xml:space="preserve"/>
      </w:r>
    </w:p>
    <w:p>
      <w:pPr>
        <w:spacing w:after="160" w:line="320"/>
        <w:jc w:val="both"/>
      </w:pPr>
      <w:r>
        <w:rPr>
          <w:rFonts w:ascii="Georgia" w:cs="Georgia" w:eastAsia="Georgia" w:hAnsi="Georgia"/>
          <w:color w:val="111827"/>
          <w:sz w:val="22"/>
          <w:szCs w:val="22"/>
        </w:rPr>
        <w:t xml:space="preserve">Certificate suspension and withdrawal are consequences that very few organizations experience — but understanding the scenarios that lead to them, and the commercial impact they carry, helps prioritize the post-certification activities that prevent them:</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2000"/>
        <w:gridCol w:w="2000"/>
        <w:gridCol w:w="1680"/>
        <w:gridCol w:w="1680"/>
      </w:tblGrid>
      <w:tr>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Scenario</w:t>
            </w:r>
          </w:p>
        </w:tc>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Trigger</w:t>
            </w:r>
          </w:p>
        </w:tc>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Suspension process</w:t>
            </w:r>
          </w:p>
        </w:tc>
        <w:tc>
          <w:tcPr>
            <w:tcW w:type="dxa" w:w="16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Resolution path</w:t>
            </w:r>
          </w:p>
        </w:tc>
        <w:tc>
          <w:tcPr>
            <w:tcW w:type="dxa" w:w="16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Withdrawal risk</w:t>
            </w:r>
          </w:p>
        </w:tc>
      </w:tr>
      <w:tr>
        <w:tc>
          <w:tcPr>
            <w:tcW w:type="dxa" w:w="2000"/>
            <w:tcBorders>
              <w:top w:val="single" w:color="DBEAFE" w:sz="1"/>
              <w:left w:val="single" w:color="DBEAFE" w:sz="1"/>
              <w:bottom w:val="single" w:color="DBEAFE" w:sz="1"/>
              <w:right w:val="single" w:color="DBEAFE" w:sz="1"/>
            </w:tcBorders>
            <w:shd w:fill="991B1B" w:val="clear"/>
            <w:tcMar>
              <w:top w:type="dxa" w:w="100"/>
              <w:left w:type="dxa" w:w="110"/>
              <w:bottom w:type="dxa" w:w="100"/>
              <w:right w:type="dxa" w:w="110"/>
            </w:tcMar>
          </w:tcPr>
          <w:p>
            <w:r>
              <w:rPr>
                <w:rFonts w:ascii="Arial" w:cs="Arial" w:eastAsia="Arial" w:hAnsi="Arial"/>
                <w:b/>
                <w:bCs/>
                <w:color w:val="FFFFFF"/>
                <w:sz w:val="17"/>
                <w:szCs w:val="17"/>
              </w:rPr>
              <w:t xml:space="preserve">Major NC found at surveillance audit, not resolved within response window</w:t>
            </w:r>
          </w:p>
        </w:tc>
        <w:tc>
          <w:tcPr>
            <w:tcW w:type="dxa" w:w="200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i/>
                <w:iCs/>
                <w:color w:val="991B1B"/>
                <w:sz w:val="17"/>
                <w:szCs w:val="17"/>
              </w:rPr>
              <w:t xml:space="preserve">CB finds a major nonconformity at a surveillance audit. Organization fails to submit a satisfactory corrective action plan or resolution within the specified response window (typically 30–90 days).</w:t>
            </w:r>
          </w:p>
        </w:tc>
        <w:tc>
          <w:tcPr>
            <w:tcW w:type="dxa" w:w="20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7"/>
                <w:szCs w:val="17"/>
              </w:rPr>
              <w:t xml:space="preserve">CB suspends the certificate. Suspension means the certificate is not valid for the suspension period. This must be disclosed to clients and regulators relying on the certificate.</w:t>
            </w:r>
          </w:p>
        </w:tc>
        <w:tc>
          <w:tcPr>
            <w:tcW w:type="dxa" w:w="16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color w:val="065F46"/>
                <w:sz w:val="16"/>
                <w:szCs w:val="16"/>
              </w:rPr>
              <w:t xml:space="preserve">Submit satisfactory corrective action evidence. CB lifts suspension and reinstates certificate. Certificate validity period may be adjusted.</w:t>
            </w:r>
          </w:p>
        </w:tc>
        <w:tc>
          <w:tcPr>
            <w:tcW w:type="dxa" w:w="168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Georgia" w:cs="Georgia" w:eastAsia="Georgia" w:hAnsi="Georgia"/>
                <w:color w:val="B45309"/>
                <w:sz w:val="16"/>
                <w:szCs w:val="16"/>
              </w:rPr>
              <w:t xml:space="preserve">If organization fails to resolve within the extended response window, or if the CB determines the ISMS has fundamentally broken down, the certificate is withdrawn.</w:t>
            </w:r>
          </w:p>
        </w:tc>
      </w:tr>
      <w:tr>
        <w:tc>
          <w:tcPr>
            <w:tcW w:type="dxa" w:w="2000"/>
            <w:tcBorders>
              <w:top w:val="single" w:color="DBEAFE" w:sz="1"/>
              <w:left w:val="single" w:color="DBEAFE" w:sz="1"/>
              <w:bottom w:val="single" w:color="DBEAFE" w:sz="1"/>
              <w:right w:val="single" w:color="DBEAFE" w:sz="1"/>
            </w:tcBorders>
            <w:shd w:fill="C2410C" w:val="clear"/>
            <w:tcMar>
              <w:top w:type="dxa" w:w="100"/>
              <w:left w:type="dxa" w:w="110"/>
              <w:bottom w:type="dxa" w:w="100"/>
              <w:right w:type="dxa" w:w="110"/>
            </w:tcMar>
          </w:tcPr>
          <w:p>
            <w:r>
              <w:rPr>
                <w:rFonts w:ascii="Arial" w:cs="Arial" w:eastAsia="Arial" w:hAnsi="Arial"/>
                <w:b/>
                <w:bCs/>
                <w:color w:val="FFFFFF"/>
                <w:sz w:val="17"/>
                <w:szCs w:val="17"/>
              </w:rPr>
              <w:t xml:space="preserve">Organization fails to undergo surveillance audit</w:t>
            </w:r>
          </w:p>
        </w:tc>
        <w:tc>
          <w:tcPr>
            <w:tcW w:type="dxa" w:w="2000"/>
            <w:tcBorders>
              <w:top w:val="single" w:color="DBEAFE" w:sz="1"/>
              <w:left w:val="single" w:color="DBEAFE" w:sz="1"/>
              <w:bottom w:val="single" w:color="DBEAFE" w:sz="1"/>
              <w:right w:val="single" w:color="DBEAFE" w:sz="1"/>
            </w:tcBorders>
            <w:shd w:fill="FFF5F5" w:val="clear"/>
            <w:tcMar>
              <w:top w:type="dxa" w:w="100"/>
              <w:left w:type="dxa" w:w="110"/>
              <w:bottom w:type="dxa" w:w="100"/>
              <w:right w:type="dxa" w:w="110"/>
            </w:tcMar>
          </w:tcPr>
          <w:p>
            <w:r>
              <w:rPr>
                <w:rFonts w:ascii="Georgia" w:cs="Georgia" w:eastAsia="Georgia" w:hAnsi="Georgia"/>
                <w:i/>
                <w:iCs/>
                <w:color w:val="991B1B"/>
                <w:sz w:val="17"/>
                <w:szCs w:val="17"/>
              </w:rPr>
              <w:t xml:space="preserve">Organization does not arrange or agree to the required annual surveillance audit within the permitted window (typically within 12 months ±2 months of the previous audit).</w:t>
            </w:r>
          </w:p>
        </w:tc>
        <w:tc>
          <w:tcPr>
            <w:tcW w:type="dxa" w:w="20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7"/>
                <w:szCs w:val="17"/>
              </w:rPr>
              <w:t xml:space="preserve">CB suspends the certificate if surveillance is significantly overdue without explanation.</w:t>
            </w:r>
          </w:p>
        </w:tc>
        <w:tc>
          <w:tcPr>
            <w:tcW w:type="dxa" w:w="16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color w:val="065F46"/>
                <w:sz w:val="16"/>
                <w:szCs w:val="16"/>
              </w:rPr>
              <w:t xml:space="preserve">Schedule and complete the overdue surveillance audit. CB reinstates certificate subject to satisfactory audit outcome.</w:t>
            </w:r>
          </w:p>
        </w:tc>
        <w:tc>
          <w:tcPr>
            <w:tcW w:type="dxa" w:w="168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Georgia" w:cs="Georgia" w:eastAsia="Georgia" w:hAnsi="Georgia"/>
                <w:color w:val="B45309"/>
                <w:sz w:val="16"/>
                <w:szCs w:val="16"/>
              </w:rPr>
              <w:t xml:space="preserve">Prolonged failure to undergo surveillance results in certificate withdrawal.</w:t>
            </w:r>
          </w:p>
        </w:tc>
      </w:tr>
      <w:tr>
        <w:tc>
          <w:tcPr>
            <w:tcW w:type="dxa" w:w="2000"/>
            <w:tcBorders>
              <w:top w:val="single" w:color="DBEAFE" w:sz="1"/>
              <w:left w:val="single" w:color="DBEAFE" w:sz="1"/>
              <w:bottom w:val="single" w:color="DBEAFE" w:sz="1"/>
              <w:right w:val="single" w:color="DBEAFE" w:sz="1"/>
            </w:tcBorders>
            <w:shd w:fill="B45309" w:val="clear"/>
            <w:tcMar>
              <w:top w:type="dxa" w:w="100"/>
              <w:left w:type="dxa" w:w="110"/>
              <w:bottom w:type="dxa" w:w="100"/>
              <w:right w:type="dxa" w:w="110"/>
            </w:tcMar>
          </w:tcPr>
          <w:p>
            <w:r>
              <w:rPr>
                <w:rFonts w:ascii="Arial" w:cs="Arial" w:eastAsia="Arial" w:hAnsi="Arial"/>
                <w:b/>
                <w:bCs/>
                <w:color w:val="FFFFFF"/>
                <w:sz w:val="17"/>
                <w:szCs w:val="17"/>
              </w:rPr>
              <w:t xml:space="preserve">Significant security incident reveals fundamental ISMS failure</w:t>
            </w:r>
          </w:p>
        </w:tc>
        <w:tc>
          <w:tcPr>
            <w:tcW w:type="dxa" w:w="200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i/>
                <w:iCs/>
                <w:color w:val="991B1B"/>
                <w:sz w:val="17"/>
                <w:szCs w:val="17"/>
              </w:rPr>
              <w:t xml:space="preserve">A major data breach or security incident comes to the CB's attention that indicates the ISMS was not functioning as certified — for example, controls declared as implemented in the SoA were not actually in place.</w:t>
            </w:r>
          </w:p>
        </w:tc>
        <w:tc>
          <w:tcPr>
            <w:tcW w:type="dxa" w:w="20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7"/>
                <w:szCs w:val="17"/>
              </w:rPr>
              <w:t xml:space="preserve">CB may initiate an extraordinary audit. If evidence of systematic ISMS failure is found, certificate may be suspended pending corrective action.</w:t>
            </w:r>
          </w:p>
        </w:tc>
        <w:tc>
          <w:tcPr>
            <w:tcW w:type="dxa" w:w="16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color w:val="065F46"/>
                <w:sz w:val="16"/>
                <w:szCs w:val="16"/>
              </w:rPr>
              <w:t xml:space="preserve">Conduct root cause analysis, implement comprehensive corrective actions, and demonstrate to CB that ISMS is functioning as certified.</w:t>
            </w:r>
          </w:p>
        </w:tc>
        <w:tc>
          <w:tcPr>
            <w:tcW w:type="dxa" w:w="168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Georgia" w:cs="Georgia" w:eastAsia="Georgia" w:hAnsi="Georgia"/>
                <w:color w:val="B45309"/>
                <w:sz w:val="16"/>
                <w:szCs w:val="16"/>
              </w:rPr>
              <w:t xml:space="preserve">If organization is unable to demonstrate ISMS recovery, certificate may be withdrawn.</w:t>
            </w:r>
          </w:p>
        </w:tc>
      </w:tr>
      <w:tr>
        <w:tc>
          <w:tcPr>
            <w:tcW w:type="dxa" w:w="20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7"/>
                <w:szCs w:val="17"/>
              </w:rPr>
              <w:t xml:space="preserve">Voluntary suspension or withdrawal</w:t>
            </w:r>
          </w:p>
        </w:tc>
        <w:tc>
          <w:tcPr>
            <w:tcW w:type="dxa" w:w="2000"/>
            <w:tcBorders>
              <w:top w:val="single" w:color="DBEAFE" w:sz="1"/>
              <w:left w:val="single" w:color="DBEAFE" w:sz="1"/>
              <w:bottom w:val="single" w:color="DBEAFE" w:sz="1"/>
              <w:right w:val="single" w:color="DBEAFE" w:sz="1"/>
            </w:tcBorders>
            <w:shd w:fill="FFF5F5" w:val="clear"/>
            <w:tcMar>
              <w:top w:type="dxa" w:w="100"/>
              <w:left w:type="dxa" w:w="110"/>
              <w:bottom w:type="dxa" w:w="100"/>
              <w:right w:type="dxa" w:w="110"/>
            </w:tcMar>
          </w:tcPr>
          <w:p>
            <w:r>
              <w:rPr>
                <w:rFonts w:ascii="Georgia" w:cs="Georgia" w:eastAsia="Georgia" w:hAnsi="Georgia"/>
                <w:i/>
                <w:iCs/>
                <w:color w:val="991B1B"/>
                <w:sz w:val="17"/>
                <w:szCs w:val="17"/>
              </w:rPr>
              <w:t xml:space="preserve">Organization requests voluntary suspension (e.g. during major restructuring) or withdrawal (e.g. service discontinued, scope no longer applicable).</w:t>
            </w:r>
          </w:p>
        </w:tc>
        <w:tc>
          <w:tcPr>
            <w:tcW w:type="dxa" w:w="20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7"/>
                <w:szCs w:val="17"/>
              </w:rPr>
              <w:t xml:space="preserve">Organization requests CB to suspend the certificate for a defined period. CB marks certificate as suspended in registry.</w:t>
            </w:r>
          </w:p>
        </w:tc>
        <w:tc>
          <w:tcPr>
            <w:tcW w:type="dxa" w:w="16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color w:val="065F46"/>
                <w:sz w:val="16"/>
                <w:szCs w:val="16"/>
              </w:rPr>
              <w:t xml:space="preserve">When ready to resume, organization arranges reinstatement audit or scope update audit as appropriate.</w:t>
            </w:r>
          </w:p>
        </w:tc>
        <w:tc>
          <w:tcPr>
            <w:tcW w:type="dxa" w:w="168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Georgia" w:cs="Georgia" w:eastAsia="Georgia" w:hAnsi="Georgia"/>
                <w:color w:val="B45309"/>
                <w:sz w:val="16"/>
                <w:szCs w:val="16"/>
              </w:rPr>
              <w:t xml:space="preserve">Organization requests withdrawal. Certificate is marked as withdrawn in CB registry. IAF CertSearch entry updated.</w:t>
            </w:r>
          </w:p>
        </w:tc>
      </w:tr>
    </w:tbl>
    <w:p>
      <w:pPr>
        <w:spacing w:after="160"/>
      </w:pPr>
      <w:r>
        <w:t xml:space="preserve"/>
      </w:r>
    </w:p>
    <w:p>
      <w:pPr>
        <w:spacing w:after="160" w:line="320"/>
        <w:jc w:val="both"/>
      </w:pPr>
      <w:r>
        <w:rPr>
          <w:rFonts w:ascii="Georgia" w:cs="Georgia" w:eastAsia="Georgia" w:hAnsi="Georgia"/>
          <w:color w:val="111827"/>
          <w:sz w:val="22"/>
          <w:szCs w:val="22"/>
        </w:rPr>
        <w:t xml:space="preserve">The commercial consequences of certificate suspension are significant for organizations where the certificate is a commercial requirement. Clients who require ISO 27001 certification as a vendor qualification criterion may remove the organization from approved vendor lists during a suspension period. Enterprise clients conducting due diligence who check the CB registry and find a suspended certificate will ask for explanation. Indonesian financial institutions where ISO 27001 certification supports OJK-required IT governance evidence may need to disclose the suspension to regulators.</w:t>
      </w:r>
    </w:p>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991B1B" w:sz="1"/>
              <w:left w:val="single" w:color="991B1B" w:sz="12"/>
              <w:bottom w:val="single" w:color="991B1B" w:sz="1"/>
              <w:right w:val="single" w:color="991B1B" w:sz="1"/>
            </w:tcBorders>
            <w:shd w:fill="FEF2F2" w:val="clear"/>
            <w:tcMar>
              <w:top w:type="dxa" w:w="140"/>
              <w:left w:type="dxa" w:w="200"/>
              <w:bottom w:type="dxa" w:w="140"/>
              <w:right w:type="dxa" w:w="160"/>
            </w:tcMar>
          </w:tcPr>
          <w:p>
            <w:r>
              <w:rPr>
                <w:rFonts w:ascii="Georgia" w:cs="Georgia" w:eastAsia="Georgia" w:hAnsi="Georgia"/>
                <w:i/>
                <w:iCs/>
                <w:color w:val="991B1B"/>
                <w:sz w:val="21"/>
                <w:szCs w:val="21"/>
              </w:rPr>
              <w:t xml:space="preserve">Prevention is straightforward: The scenarios that lead to suspension — major NC at surveillance not resolved, missed surveillance audit, security incident revealing ISMS failure — are all preventable through the post-certification calendar activities in this article. An organization that maintains its ISMS operational discipline, conducts its surveillance audits on schedule, and addresses findings promptly will not experience suspension. The risk management case for maintaining the ISMS between audits is precisely the avoidance of the commercial and regulatory consequences of suspension.</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Year-One Post-Certification Checklist</w:t>
      </w:r>
    </w:p>
    <w:p>
      <w:pPr>
        <w:spacing w:after="80"/>
      </w:pPr>
      <w:r>
        <w:t xml:space="preserve"/>
      </w:r>
    </w:p>
    <w:p>
      <w:pPr>
        <w:spacing w:after="160" w:line="320"/>
        <w:jc w:val="both"/>
      </w:pPr>
      <w:r>
        <w:rPr>
          <w:rFonts w:ascii="Georgia" w:cs="Georgia" w:eastAsia="Georgia" w:hAnsi="Georgia"/>
          <w:color w:val="111827"/>
          <w:sz w:val="22"/>
          <w:szCs w:val="22"/>
        </w:rPr>
        <w:t xml:space="preserve">The first year after certification is the highest-risk period for ISMS discipline degradation. The checklist below provides a milestone-by-milestone guide for the first twelve months, structured to ensure that surveillance audit readiness is built progressively rather than assembled in the final weeks before the audit:</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BEAFE" w:sz="1"/>
              <w:left w:val="single" w:color="DBEAFE" w:sz="1"/>
              <w:bottom w:val="single" w:color="DBEAFE" w:sz="1"/>
              <w:right w:val="single" w:color="DBEAFE" w:sz="1"/>
            </w:tcBorders>
            <w:shd w:fill="1B3A5C" w:val="clear"/>
            <w:tcMar>
              <w:top w:type="dxa" w:w="80"/>
              <w:left w:type="dxa" w:w="130"/>
              <w:bottom w:type="dxa" w:w="80"/>
              <w:right w:type="dxa" w:w="130"/>
            </w:tcMar>
          </w:tcPr>
          <w:p>
            <w:r>
              <w:rPr>
                <w:rFonts w:ascii="Arial" w:cs="Arial" w:eastAsia="Arial" w:hAnsi="Arial"/>
                <w:b/>
                <w:bCs/>
                <w:color w:val="FFFFFF"/>
                <w:sz w:val="20"/>
                <w:szCs w:val="20"/>
              </w:rPr>
              <w:t xml:space="preserve">Month 1–3 post-certification</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80"/>
            </w:pPr>
            <w:r>
              <w:rPr>
                <w:rFonts w:ascii="Georgia" w:cs="Georgia" w:eastAsia="Georgia" w:hAnsi="Georgia"/>
                <w:color w:val="111827"/>
                <w:sz w:val="20"/>
                <w:szCs w:val="20"/>
              </w:rPr>
              <w:t xml:space="preserve">☐  Certificate received and verified — check scope statement, CB name, certificate number, expiry date</w:t>
            </w:r>
          </w:p>
          <w:p>
            <w:pPr>
              <w:spacing w:after="80"/>
            </w:pPr>
            <w:r>
              <w:rPr>
                <w:rFonts w:ascii="Georgia" w:cs="Georgia" w:eastAsia="Georgia" w:hAnsi="Georgia"/>
                <w:color w:val="111827"/>
                <w:sz w:val="20"/>
                <w:szCs w:val="20"/>
              </w:rPr>
              <w:t xml:space="preserve">☐  Certificate published in agreed internal and external channels</w:t>
            </w:r>
          </w:p>
          <w:p>
            <w:pPr>
              <w:spacing w:after="80"/>
            </w:pPr>
            <w:r>
              <w:rPr>
                <w:rFonts w:ascii="Georgia" w:cs="Georgia" w:eastAsia="Georgia" w:hAnsi="Georgia"/>
                <w:color w:val="111827"/>
                <w:sz w:val="20"/>
                <w:szCs w:val="20"/>
              </w:rPr>
              <w:t xml:space="preserve">☐  All Stage 2 NC corrective actions fully closed with evidence (if not already completed pre-certificate)</w:t>
            </w:r>
          </w:p>
          <w:p>
            <w:pPr>
              <w:spacing w:after="80"/>
            </w:pPr>
            <w:r>
              <w:rPr>
                <w:rFonts w:ascii="Georgia" w:cs="Georgia" w:eastAsia="Georgia" w:hAnsi="Georgia"/>
                <w:color w:val="111827"/>
                <w:sz w:val="20"/>
                <w:szCs w:val="20"/>
              </w:rPr>
              <w:t xml:space="preserve">☐  Post-certification management review scheduled for Month 3 — brief executive sponsor on Year 1 surveillance preparation</w:t>
            </w:r>
          </w:p>
          <w:p>
            <w:pPr>
              <w:spacing w:after="80"/>
            </w:pPr>
            <w:r>
              <w:rPr>
                <w:rFonts w:ascii="Georgia" w:cs="Georgia" w:eastAsia="Georgia" w:hAnsi="Georgia"/>
                <w:color w:val="111827"/>
                <w:sz w:val="20"/>
                <w:szCs w:val="20"/>
              </w:rPr>
              <w:t xml:space="preserve">☐  Year 1 surveillance audit date confirmed with CB</w:t>
            </w:r>
          </w:p>
          <w:p>
            <w:pPr>
              <w:spacing w:after="80"/>
            </w:pPr>
            <w:r>
              <w:rPr>
                <w:rFonts w:ascii="Georgia" w:cs="Georgia" w:eastAsia="Georgia" w:hAnsi="Georgia"/>
                <w:color w:val="111827"/>
                <w:sz w:val="20"/>
                <w:szCs w:val="20"/>
              </w:rPr>
              <w:t xml:space="preserve">☐  ISMS operational calendar activated — access reviews, phishing simulations, monitoring all running</w:t>
            </w:r>
          </w:p>
        </w:tc>
      </w:tr>
      <w:tr>
        <w:tc>
          <w:tcPr>
            <w:tcW w:type="dxa" w:w="9360"/>
            <w:tcBorders>
              <w:top w:val="single" w:color="DBEAFE" w:sz="1"/>
              <w:left w:val="single" w:color="DBEAFE" w:sz="1"/>
              <w:bottom w:val="single" w:color="DBEAFE" w:sz="1"/>
              <w:right w:val="single" w:color="DBEAFE" w:sz="1"/>
            </w:tcBorders>
            <w:shd w:fill="2563A8" w:val="clear"/>
            <w:tcMar>
              <w:top w:type="dxa" w:w="80"/>
              <w:left w:type="dxa" w:w="130"/>
              <w:bottom w:type="dxa" w:w="80"/>
              <w:right w:type="dxa" w:w="130"/>
            </w:tcMar>
          </w:tcPr>
          <w:p>
            <w:r>
              <w:rPr>
                <w:rFonts w:ascii="Arial" w:cs="Arial" w:eastAsia="Arial" w:hAnsi="Arial"/>
                <w:b/>
                <w:bCs/>
                <w:color w:val="FFFFFF"/>
                <w:sz w:val="20"/>
                <w:szCs w:val="20"/>
              </w:rPr>
              <w:t xml:space="preserve">Month 4–8 post-certification</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80"/>
            </w:pPr>
            <w:r>
              <w:rPr>
                <w:rFonts w:ascii="Georgia" w:cs="Georgia" w:eastAsia="Georgia" w:hAnsi="Georgia"/>
                <w:color w:val="111827"/>
                <w:sz w:val="20"/>
                <w:szCs w:val="20"/>
              </w:rPr>
              <w:t xml:space="preserve">☐  First post-certification access review completed with documented evidence</w:t>
            </w:r>
          </w:p>
          <w:p>
            <w:pPr>
              <w:spacing w:after="80"/>
            </w:pPr>
            <w:r>
              <w:rPr>
                <w:rFonts w:ascii="Georgia" w:cs="Georgia" w:eastAsia="Georgia" w:hAnsi="Georgia"/>
                <w:color w:val="111827"/>
                <w:sz w:val="20"/>
                <w:szCs w:val="20"/>
              </w:rPr>
              <w:t xml:space="preserve">☐  First post-certification vulnerability scan completed, remediation actioned</w:t>
            </w:r>
          </w:p>
          <w:p>
            <w:pPr>
              <w:spacing w:after="80"/>
            </w:pPr>
            <w:r>
              <w:rPr>
                <w:rFonts w:ascii="Georgia" w:cs="Georgia" w:eastAsia="Georgia" w:hAnsi="Georgia"/>
                <w:color w:val="111827"/>
                <w:sz w:val="20"/>
                <w:szCs w:val="20"/>
              </w:rPr>
              <w:t xml:space="preserve">☐  First post-certification phishing simulation completed and results recorded</w:t>
            </w:r>
          </w:p>
          <w:p>
            <w:pPr>
              <w:spacing w:after="80"/>
            </w:pPr>
            <w:r>
              <w:rPr>
                <w:rFonts w:ascii="Georgia" w:cs="Georgia" w:eastAsia="Georgia" w:hAnsi="Georgia"/>
                <w:color w:val="111827"/>
                <w:sz w:val="20"/>
                <w:szCs w:val="20"/>
              </w:rPr>
              <w:t xml:space="preserve">☐  Awareness training renewal scheduled — ensure all staff complete updated module by Month 12</w:t>
            </w:r>
          </w:p>
          <w:p>
            <w:pPr>
              <w:spacing w:after="80"/>
            </w:pPr>
            <w:r>
              <w:rPr>
                <w:rFonts w:ascii="Georgia" w:cs="Georgia" w:eastAsia="Georgia" w:hAnsi="Georgia"/>
                <w:color w:val="111827"/>
                <w:sz w:val="20"/>
                <w:szCs w:val="20"/>
              </w:rPr>
              <w:t xml:space="preserve">☐  All Stage 2 observations addressed or decision documented not to address</w:t>
            </w:r>
          </w:p>
          <w:p>
            <w:pPr>
              <w:spacing w:after="80"/>
            </w:pPr>
            <w:r>
              <w:rPr>
                <w:rFonts w:ascii="Georgia" w:cs="Georgia" w:eastAsia="Georgia" w:hAnsi="Georgia"/>
                <w:color w:val="111827"/>
                <w:sz w:val="20"/>
                <w:szCs w:val="20"/>
              </w:rPr>
              <w:t xml:space="preserve">☐  Internal audit Q1 of the post-certification year completed</w:t>
            </w:r>
          </w:p>
        </w:tc>
      </w:tr>
      <w:tr>
        <w:tc>
          <w:tcPr>
            <w:tcW w:type="dxa" w:w="9360"/>
            <w:tcBorders>
              <w:top w:val="single" w:color="DBEAFE" w:sz="1"/>
              <w:left w:val="single" w:color="DBEAFE" w:sz="1"/>
              <w:bottom w:val="single" w:color="DBEAFE" w:sz="1"/>
              <w:right w:val="single" w:color="DBEAFE" w:sz="1"/>
            </w:tcBorders>
            <w:shd w:fill="0F766E" w:val="clear"/>
            <w:tcMar>
              <w:top w:type="dxa" w:w="80"/>
              <w:left w:type="dxa" w:w="130"/>
              <w:bottom w:type="dxa" w:w="80"/>
              <w:right w:type="dxa" w:w="130"/>
            </w:tcMar>
          </w:tcPr>
          <w:p>
            <w:r>
              <w:rPr>
                <w:rFonts w:ascii="Arial" w:cs="Arial" w:eastAsia="Arial" w:hAnsi="Arial"/>
                <w:b/>
                <w:bCs/>
                <w:color w:val="FFFFFF"/>
                <w:sz w:val="20"/>
                <w:szCs w:val="20"/>
              </w:rPr>
              <w:t xml:space="preserve">Month 9–12 pre-surveillance</w:t>
            </w:r>
          </w:p>
        </w:tc>
      </w:tr>
      <w:tr>
        <w:tc>
          <w:tcPr>
            <w:tcW w:type="dxa" w:w="9360"/>
            <w:tcBorders>
              <w:top w:val="none" w:color="FFFFFF" w:sz="0"/>
              <w:left w:val="single" w:color="DBEAFE" w:sz="1"/>
              <w:bottom w:val="single" w:color="DBEAFE" w:sz="1"/>
              <w:right w:val="single" w:color="DBEAFE" w:sz="1"/>
            </w:tcBorders>
            <w:shd w:fill="FFFFFF" w:val="clear"/>
            <w:tcMar>
              <w:top w:type="dxa" w:w="90"/>
              <w:left w:type="dxa" w:w="130"/>
              <w:bottom w:type="dxa" w:w="90"/>
              <w:right w:type="dxa" w:w="130"/>
            </w:tcMar>
          </w:tcPr>
          <w:p>
            <w:pPr>
              <w:spacing w:after="80"/>
            </w:pPr>
            <w:r>
              <w:rPr>
                <w:rFonts w:ascii="Georgia" w:cs="Georgia" w:eastAsia="Georgia" w:hAnsi="Georgia"/>
                <w:color w:val="111827"/>
                <w:sz w:val="20"/>
                <w:szCs w:val="20"/>
              </w:rPr>
              <w:t xml:space="preserve">☐  Evidence dry run — retrieve evidence for every applicable SoA control and verify it is current</w:t>
            </w:r>
          </w:p>
          <w:p>
            <w:pPr>
              <w:spacing w:after="80"/>
            </w:pPr>
            <w:r>
              <w:rPr>
                <w:rFonts w:ascii="Georgia" w:cs="Georgia" w:eastAsia="Georgia" w:hAnsi="Georgia"/>
                <w:color w:val="111827"/>
                <w:sz w:val="20"/>
                <w:szCs w:val="20"/>
              </w:rPr>
              <w:t xml:space="preserve">☐  Risk register reviewed — confirm no significant changes since certification that have not been documented</w:t>
            </w:r>
          </w:p>
          <w:p>
            <w:pPr>
              <w:spacing w:after="80"/>
            </w:pPr>
            <w:r>
              <w:rPr>
                <w:rFonts w:ascii="Georgia" w:cs="Georgia" w:eastAsia="Georgia" w:hAnsi="Georgia"/>
                <w:color w:val="111827"/>
                <w:sz w:val="20"/>
                <w:szCs w:val="20"/>
              </w:rPr>
              <w:t xml:space="preserve">☐  Pre-surveillance management review conducted — all 8 Clause 9.3.2 inputs, decisions documented</w:t>
            </w:r>
          </w:p>
          <w:p>
            <w:pPr>
              <w:spacing w:after="80"/>
            </w:pPr>
            <w:r>
              <w:rPr>
                <w:rFonts w:ascii="Georgia" w:cs="Georgia" w:eastAsia="Georgia" w:hAnsi="Georgia"/>
                <w:color w:val="111827"/>
                <w:sz w:val="20"/>
                <w:szCs w:val="20"/>
              </w:rPr>
              <w:t xml:space="preserve">☐  Internal audit covering areas not audited in Q1 — specifically testing areas flagged at Stage 2</w:t>
            </w:r>
          </w:p>
          <w:p>
            <w:pPr>
              <w:spacing w:after="80"/>
            </w:pPr>
            <w:r>
              <w:rPr>
                <w:rFonts w:ascii="Georgia" w:cs="Georgia" w:eastAsia="Georgia" w:hAnsi="Georgia"/>
                <w:color w:val="111827"/>
                <w:sz w:val="20"/>
                <w:szCs w:val="20"/>
              </w:rPr>
              <w:t xml:space="preserve">☐  All open CARs (from Stage 2 or internal audits) closed or have an active resolution plan</w:t>
            </w:r>
          </w:p>
          <w:p>
            <w:pPr>
              <w:spacing w:after="80"/>
            </w:pPr>
            <w:r>
              <w:rPr>
                <w:rFonts w:ascii="Georgia" w:cs="Georgia" w:eastAsia="Georgia" w:hAnsi="Georgia"/>
                <w:color w:val="111827"/>
                <w:sz w:val="20"/>
                <w:szCs w:val="20"/>
              </w:rPr>
              <w:t xml:space="preserve">☐  Staff awareness briefing on surveillance audit — brief key interview subjects on what to expect</w:t>
            </w:r>
          </w:p>
          <w:p>
            <w:pPr>
              <w:spacing w:after="80"/>
            </w:pPr>
            <w:r>
              <w:rPr>
                <w:rFonts w:ascii="Georgia" w:cs="Georgia" w:eastAsia="Georgia" w:hAnsi="Georgia"/>
                <w:color w:val="111827"/>
                <w:sz w:val="20"/>
                <w:szCs w:val="20"/>
              </w:rPr>
              <w:t xml:space="preserve">☐  Evidence library organized and up to date for auditor access on surveillance day</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E9F6E" w:sz="1"/>
              <w:left w:val="single" w:color="0E9F6E" w:sz="12"/>
              <w:bottom w:val="single" w:color="0E9F6E" w:sz="1"/>
              <w:right w:val="single" w:color="0E9F6E" w:sz="1"/>
            </w:tcBorders>
            <w:shd w:fill="ECFDF5" w:val="clear"/>
            <w:tcMar>
              <w:top w:type="dxa" w:w="140"/>
              <w:left w:type="dxa" w:w="200"/>
              <w:bottom w:type="dxa" w:w="140"/>
              <w:right w:type="dxa" w:w="160"/>
            </w:tcMar>
          </w:tcPr>
          <w:p>
            <w:r>
              <w:rPr>
                <w:rFonts w:ascii="Georgia" w:cs="Georgia" w:eastAsia="Georgia" w:hAnsi="Georgia"/>
                <w:i/>
                <w:iCs/>
                <w:color w:val="065F46"/>
                <w:sz w:val="21"/>
                <w:szCs w:val="21"/>
              </w:rPr>
              <w:t xml:space="preserve">Bitlion post-certification management: Bitlion's platform maintains the full post-certification ISMS operational calendar — with automated reminders for quarterly access reviews, vulnerability scans, phishing simulations, and policy review dates. The surveillance audit preparation module generates an evidence readiness report 6 weeks before the audit date, flagging any evidence items that are stale, missing, or overdue. CB notifications for scope changes can be drafted and tracked through the platform's correspondence module.</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Certificate as a Living Commitment</w:t>
      </w:r>
    </w:p>
    <w:p>
      <w:pPr>
        <w:spacing w:after="80"/>
      </w:pPr>
      <w:r>
        <w:t xml:space="preserve"/>
      </w:r>
    </w:p>
    <w:p>
      <w:pPr>
        <w:spacing w:after="160" w:line="320"/>
        <w:jc w:val="both"/>
      </w:pPr>
      <w:r>
        <w:rPr>
          <w:rFonts w:ascii="Georgia" w:cs="Georgia" w:eastAsia="Georgia" w:hAnsi="Georgia"/>
          <w:color w:val="111827"/>
          <w:sz w:val="22"/>
          <w:szCs w:val="22"/>
        </w:rPr>
        <w:t xml:space="preserve">An ISO 27001 certificate represents an ongoing commitment, renewed annually through surveillance and reset every three years through recertification. It is not an attestation of a historical state — it is a continuous statement that today, this organization's information security management system meets the requirements of ISO 27001:2022 within the certified scope.</w:t>
      </w:r>
    </w:p>
    <w:p>
      <w:pPr>
        <w:spacing w:after="80"/>
      </w:pPr>
      <w:r>
        <w:t xml:space="preserve"/>
      </w:r>
    </w:p>
    <w:p>
      <w:pPr>
        <w:spacing w:after="160" w:line="320"/>
        <w:jc w:val="both"/>
      </w:pPr>
      <w:r>
        <w:rPr>
          <w:rFonts w:ascii="Georgia" w:cs="Georgia" w:eastAsia="Georgia" w:hAnsi="Georgia"/>
          <w:color w:val="111827"/>
          <w:sz w:val="22"/>
          <w:szCs w:val="22"/>
        </w:rPr>
        <w:t xml:space="preserve">Maintaining that statement accurately requires operational discipline across the full post-certification calendar: reviews conducted on schedule, evidence collected at the time of operation, changes managed through the ISMS, auditors engaged openly. Organizations that treat the certificate as a marketing artifact rather than an operational commitment will find, eventually, that the artifact no longer reflects the reality — and that auditors, clients, or regulators will discover this before the organization does.</w:t>
      </w:r>
    </w:p>
    <w:p>
      <w:pPr>
        <w:spacing w:after="80"/>
      </w:pPr>
      <w:r>
        <w:t xml:space="preserve"/>
      </w:r>
    </w:p>
    <w:p>
      <w:pPr>
        <w:spacing w:after="160" w:line="320"/>
        <w:jc w:val="both"/>
      </w:pPr>
      <w:r>
        <w:rPr>
          <w:rFonts w:ascii="Georgia" w:cs="Georgia" w:eastAsia="Georgia" w:hAnsi="Georgia"/>
          <w:color w:val="111827"/>
          <w:sz w:val="22"/>
          <w:szCs w:val="22"/>
        </w:rPr>
        <w:t xml:space="preserve">The organizations that derive the most value from ISO 27001 certification — the ones for whom the certificate genuinely opens doors, builds client trust, and demonstrates regulatory maturity — are the ones who maintain the ISMS as a genuine management tool rather than a compliance performance. The certificate is the evidence. The ISMS is the substance.</w:t>
      </w:r>
    </w:p>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NEXT ARTICLE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4.6 — Surveillance Audits and Recertification: What to expect at annual surveillance audits and how to prepare for the three-year recertification cycle.</w:t>
            </w:r>
          </w:p>
        </w:tc>
      </w:tr>
    </w:tbl>
    <w:p>
      <w:pPr>
        <w:spacing w:after="200"/>
      </w:pPr>
      <w:r>
        <w:t xml:space="preserve"/>
      </w:r>
    </w:p>
    <w:p>
      <w:pPr>
        <w:pBdr>
          <w:bottom w:val="single" w:color="D1D5DB" w:sz="2" w:space="1"/>
        </w:pBdr>
        <w:spacing w:before="200" w:after="200"/>
      </w:pPr>
      <w:r>
        <w:t xml:space="preserve"/>
      </w:r>
    </w:p>
    <w:p>
      <w:pPr>
        <w:spacing w:after="80"/>
      </w:pPr>
      <w:r>
        <w:t xml:space="preserve"/>
      </w:r>
    </w:p>
    <w:p>
      <w:pPr>
        <w:spacing w:after="40"/>
        <w:jc w:val="center"/>
      </w:pPr>
      <w:r>
        <w:rPr>
          <w:rFonts w:ascii="Arial" w:cs="Arial" w:eastAsia="Arial" w:hAnsi="Arial"/>
          <w:color w:val="9CA3AF"/>
          <w:sz w:val="17"/>
          <w:szCs w:val="17"/>
        </w:rPr>
        <w:t xml:space="preserve">ISO 27001 Information Security Management System Documentation  ·  Bitlion GRC Platform  ·  © 2026</w:t>
      </w:r>
    </w:p>
    <w:p>
      <w:pPr>
        <w:jc w:val="center"/>
      </w:pPr>
      <w:r>
        <w:rPr>
          <w:rFonts w:ascii="Arial" w:cs="Arial" w:eastAsia="Arial" w:hAnsi="Arial"/>
          <w:i/>
          <w:iCs/>
          <w:color w:val="9CA3AF"/>
          <w:sz w:val="17"/>
          <w:szCs w:val="17"/>
        </w:rPr>
        <w:t xml:space="preserve">This document is part of Bitlion's open compliance knowledge base.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11827"/>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0" w:after="200"/>
      <w:outlineLvl w:val="0"/>
    </w:pPr>
    <w:rPr>
      <w:rFonts w:ascii="Arial" w:cs="Arial" w:eastAsia="Arial" w:hAnsi="Arial"/>
      <w:b/>
      <w:bCs/>
      <w:color w:val="1B3A5C"/>
      <w:sz w:val="44"/>
      <w:szCs w:val="44"/>
    </w:rPr>
  </w:style>
  <w:style w:type="paragraph" w:styleId="Heading2">
    <w:name w:val="Heading 2"/>
    <w:basedOn w:val="Normal"/>
    <w:next w:val="Normal"/>
    <w:qFormat/>
    <w:pPr>
      <w:spacing w:before="400" w:after="160"/>
      <w:outlineLvl w:val="1"/>
    </w:pPr>
    <w:rPr>
      <w:rFonts w:ascii="Arial" w:cs="Arial" w:eastAsia="Arial" w:hAnsi="Arial"/>
      <w:b/>
      <w:bCs/>
      <w:color w:val="1B3A5C"/>
      <w:sz w:val="28"/>
      <w:szCs w:val="28"/>
    </w:rPr>
  </w:style>
  <w:style w:type="paragraph" w:styleId="Heading3">
    <w:name w:val="Heading 3"/>
    <w:basedOn w:val="Normal"/>
    <w:next w:val="Normal"/>
    <w:qFormat/>
    <w:pPr>
      <w:spacing w:before="280" w:after="120"/>
      <w:outlineLvl w:val="2"/>
    </w:pPr>
    <w:rPr>
      <w:rFonts w:ascii="Arial" w:cs="Arial" w:eastAsia="Arial" w:hAnsi="Arial"/>
      <w:b/>
      <w:bCs/>
      <w:color w:val="2563A8"/>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2026-03-26T15:38:48.437Z</dcterms:created>
  <dcterms:modified xsi:type="dcterms:W3CDTF">2026-03-26T15:38:48.438Z</dcterms:modified>
</cp:coreProperties>
</file>

<file path=docProps/custom.xml><?xml version="1.0" encoding="utf-8"?>
<Properties xmlns="http://schemas.openxmlformats.org/officeDocument/2006/custom-properties" xmlns:vt="http://schemas.openxmlformats.org/officeDocument/2006/docPropsVTypes"/>
</file>